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E8BB44E" w14:textId="07FFC1C9" w:rsidR="00D80951" w:rsidRPr="00672F10" w:rsidRDefault="00DE761F" w:rsidP="00CE0011">
      <w:pPr>
        <w:pStyle w:val="a7"/>
      </w:pPr>
      <w:bookmarkStart w:id="0" w:name="_Hlk225164268"/>
      <w:r w:rsidRPr="00672F10">
        <w:t xml:space="preserve">Разработка сенсора для неинвазивного </w:t>
      </w:r>
      <w:r w:rsidRPr="00CE0011">
        <w:t>мониторинга</w:t>
      </w:r>
      <w:r w:rsidRPr="00672F10">
        <w:t xml:space="preserve"> гематокрита в процессе гемодиализа</w:t>
      </w:r>
    </w:p>
    <w:p w14:paraId="4771F374" w14:textId="56E15007" w:rsidR="00D80951" w:rsidRPr="00672F10" w:rsidRDefault="00DE761F" w:rsidP="00CE0011">
      <w:pPr>
        <w:pStyle w:val="aa"/>
      </w:pPr>
      <w:bookmarkStart w:id="1" w:name="_Hlk202395887"/>
      <w:r w:rsidRPr="00672F10">
        <w:t>И. А. Боховко, И. П. Корнеева, Г. А. Конопле</w:t>
      </w:r>
      <w:bookmarkEnd w:id="1"/>
      <w:r w:rsidRPr="00672F10">
        <w:t xml:space="preserve">в, </w:t>
      </w:r>
      <w:r w:rsidR="00087840">
        <w:br/>
      </w:r>
      <w:r w:rsidRPr="00672F10">
        <w:t xml:space="preserve">М. Ю. </w:t>
      </w:r>
      <w:proofErr w:type="spellStart"/>
      <w:r w:rsidRPr="00672F10">
        <w:t>Михайлис</w:t>
      </w:r>
      <w:proofErr w:type="spellEnd"/>
      <w:r w:rsidRPr="00672F10">
        <w:t>, Н. А. Овсянников</w:t>
      </w:r>
    </w:p>
    <w:bookmarkEnd w:id="0"/>
    <w:p w14:paraId="32DAECA3" w14:textId="1CC811A9" w:rsidR="008540C2" w:rsidRPr="00672F10" w:rsidRDefault="00DE761F" w:rsidP="00CE0011">
      <w:pPr>
        <w:pStyle w:val="ab"/>
      </w:pPr>
      <w:r w:rsidRPr="00672F10">
        <w:t>Санкт-</w:t>
      </w:r>
      <w:r w:rsidRPr="00CE0011">
        <w:t>Петербургский</w:t>
      </w:r>
      <w:r w:rsidRPr="00672F10">
        <w:t xml:space="preserve"> государственный электротехнический университет </w:t>
      </w:r>
      <w:r w:rsidR="00087840">
        <w:br/>
      </w:r>
      <w:r w:rsidRPr="00672F10">
        <w:t>«ЛЭТИ» им. В.И. Ульянова (Ленина)</w:t>
      </w:r>
    </w:p>
    <w:p w14:paraId="439D1B2B" w14:textId="6C0660C7" w:rsidR="00087840" w:rsidRPr="00CE0011" w:rsidRDefault="00A46599" w:rsidP="00CE0011">
      <w:pPr>
        <w:pStyle w:val="ac"/>
      </w:pPr>
      <w:hyperlink r:id="rId8" w:history="1">
        <w:r w:rsidR="002D1BAC" w:rsidRPr="00CE0011">
          <w:t>bohovkoigor10@gmail.com</w:t>
        </w:r>
      </w:hyperlink>
      <w:r w:rsidR="002D1BAC" w:rsidRPr="00CE0011">
        <w:t xml:space="preserve">, </w:t>
      </w:r>
      <w:hyperlink r:id="rId9" w:history="1">
        <w:r w:rsidR="002D1BAC" w:rsidRPr="00CE0011">
          <w:t>korneeva.inkorn@yandex.ru</w:t>
        </w:r>
      </w:hyperlink>
      <w:r w:rsidR="002D1BAC" w:rsidRPr="00CE0011">
        <w:t xml:space="preserve">, </w:t>
      </w:r>
      <w:hyperlink r:id="rId10" w:history="1">
        <w:r w:rsidR="002D1BAC" w:rsidRPr="00CE0011">
          <w:t>gakonoplev@mail.ru</w:t>
        </w:r>
      </w:hyperlink>
      <w:r w:rsidR="002D1BAC" w:rsidRPr="00CE0011">
        <w:t xml:space="preserve">, </w:t>
      </w:r>
      <w:r w:rsidR="00447F6B" w:rsidRPr="00CE0011">
        <w:br/>
      </w:r>
      <w:hyperlink r:id="rId11" w:history="1">
        <w:r w:rsidR="00447F6B" w:rsidRPr="00CE0011">
          <w:rPr>
            <w:rStyle w:val="af2"/>
            <w:color w:val="auto"/>
            <w:u w:val="none"/>
          </w:rPr>
          <w:t>milanamihailis@mail.ru</w:t>
        </w:r>
      </w:hyperlink>
      <w:r w:rsidR="002D1BAC" w:rsidRPr="00CE0011">
        <w:t xml:space="preserve">, </w:t>
      </w:r>
      <w:hyperlink r:id="rId12" w:history="1">
        <w:r w:rsidR="00087840" w:rsidRPr="00CE0011">
          <w:rPr>
            <w:rStyle w:val="af2"/>
            <w:color w:val="auto"/>
            <w:u w:val="none"/>
          </w:rPr>
          <w:t>nikolai.ovsyannikoff@yandex.ru</w:t>
        </w:r>
      </w:hyperlink>
    </w:p>
    <w:p w14:paraId="7157711F" w14:textId="350C61B9" w:rsidR="00087840" w:rsidRPr="00CE0011" w:rsidRDefault="00087840" w:rsidP="00CE0011">
      <w:pPr>
        <w:pStyle w:val="ac"/>
        <w:sectPr w:rsidR="00087840" w:rsidRPr="00CE0011" w:rsidSect="001C10F0">
          <w:footerReference w:type="default" r:id="rId13"/>
          <w:type w:val="continuous"/>
          <w:pgSz w:w="11906" w:h="16838" w:code="9"/>
          <w:pgMar w:top="907" w:right="907" w:bottom="1440" w:left="907" w:header="709" w:footer="709" w:gutter="0"/>
          <w:pgNumType w:start="355"/>
          <w:cols w:space="708"/>
          <w:docGrid w:linePitch="360"/>
        </w:sectPr>
      </w:pPr>
    </w:p>
    <w:p w14:paraId="68B8C0CF" w14:textId="77777777" w:rsidR="0013123C" w:rsidRPr="00672F10" w:rsidRDefault="0013123C" w:rsidP="00F8025C">
      <w:pPr>
        <w:sectPr w:rsidR="0013123C" w:rsidRPr="00672F10" w:rsidSect="00D80951">
          <w:type w:val="continuous"/>
          <w:pgSz w:w="11906" w:h="16838" w:code="9"/>
          <w:pgMar w:top="907" w:right="907" w:bottom="1440" w:left="907" w:header="709" w:footer="709" w:gutter="0"/>
          <w:cols w:space="708"/>
          <w:docGrid w:linePitch="360"/>
        </w:sectPr>
      </w:pPr>
    </w:p>
    <w:p w14:paraId="12C9A6C2" w14:textId="163941E5" w:rsidR="0013123C" w:rsidRPr="00672F10" w:rsidRDefault="0013123C" w:rsidP="008540C2">
      <w:pPr>
        <w:pStyle w:val="ad"/>
        <w:rPr>
          <w:rFonts w:eastAsia="MS Mincho"/>
        </w:rPr>
      </w:pPr>
      <w:r w:rsidRPr="00672F10">
        <w:rPr>
          <w:i/>
        </w:rPr>
        <w:lastRenderedPageBreak/>
        <w:t>Аннотация</w:t>
      </w:r>
      <w:r w:rsidR="00696080" w:rsidRPr="00672F10">
        <w:rPr>
          <w:rFonts w:eastAsia="MS Mincho"/>
        </w:rPr>
        <w:t xml:space="preserve">. Существующие методы определения гематокрита </w:t>
      </w:r>
      <w:r w:rsidR="003E67C0" w:rsidRPr="00672F10">
        <w:rPr>
          <w:rFonts w:eastAsia="MS Mincho"/>
        </w:rPr>
        <w:t>в процессе</w:t>
      </w:r>
      <w:r w:rsidR="00696080" w:rsidRPr="00672F10">
        <w:rPr>
          <w:rFonts w:eastAsia="MS Mincho"/>
        </w:rPr>
        <w:t xml:space="preserve"> гемодиализ</w:t>
      </w:r>
      <w:r w:rsidR="00242673" w:rsidRPr="00672F10">
        <w:rPr>
          <w:rFonts w:eastAsia="MS Mincho"/>
        </w:rPr>
        <w:t>а</w:t>
      </w:r>
      <w:r w:rsidR="00696080" w:rsidRPr="00672F10">
        <w:rPr>
          <w:rFonts w:eastAsia="MS Mincho"/>
        </w:rPr>
        <w:t xml:space="preserve"> являются преимущественно инвазивными, не обеспечивают непрерывного контроля в реальном времени либо отличаются высокой стоимостью, что ограничивает их применение для оперативного мониторинга состояния пациентов. Целью работы является разработка и апробация прототипа неинвазивного сенсора для мониторинга уровня гематокрита и относительного </w:t>
      </w:r>
      <w:r w:rsidR="003E67C0" w:rsidRPr="00672F10">
        <w:rPr>
          <w:rFonts w:eastAsia="MS Mincho"/>
        </w:rPr>
        <w:t xml:space="preserve">изменения </w:t>
      </w:r>
      <w:r w:rsidR="00696080" w:rsidRPr="00672F10">
        <w:rPr>
          <w:rFonts w:eastAsia="MS Mincho"/>
        </w:rPr>
        <w:t xml:space="preserve">объема </w:t>
      </w:r>
      <w:r w:rsidR="003E67C0" w:rsidRPr="00672F10">
        <w:rPr>
          <w:rFonts w:eastAsia="MS Mincho"/>
        </w:rPr>
        <w:t xml:space="preserve">циркулирующей </w:t>
      </w:r>
      <w:r w:rsidR="00696080" w:rsidRPr="00672F10">
        <w:rPr>
          <w:rFonts w:eastAsia="MS Mincho"/>
        </w:rPr>
        <w:t xml:space="preserve">крови в режиме реального времени во время процедуры гемодиализа. В </w:t>
      </w:r>
      <w:r w:rsidR="003E67C0" w:rsidRPr="00672F10">
        <w:rPr>
          <w:rFonts w:eastAsia="MS Mincho"/>
        </w:rPr>
        <w:t>результате</w:t>
      </w:r>
      <w:r w:rsidR="00696080" w:rsidRPr="00672F10">
        <w:rPr>
          <w:rFonts w:eastAsia="MS Mincho"/>
        </w:rPr>
        <w:t xml:space="preserve"> был </w:t>
      </w:r>
      <w:r w:rsidR="003E67C0" w:rsidRPr="00672F10">
        <w:rPr>
          <w:rFonts w:eastAsia="MS Mincho"/>
        </w:rPr>
        <w:t>разработан</w:t>
      </w:r>
      <w:r w:rsidR="00696080" w:rsidRPr="00672F10">
        <w:rPr>
          <w:rFonts w:eastAsia="MS Mincho"/>
        </w:rPr>
        <w:t xml:space="preserve"> прототип устройства на базе микроконтроллера, использующий метод двухволнового оптического отражения в ИК-диапазоне (810 нм и 1300 нм). Проведенные эксперименты на модельных образцах крови показали </w:t>
      </w:r>
      <w:r w:rsidR="003E67C0" w:rsidRPr="00672F10">
        <w:rPr>
          <w:rFonts w:eastAsia="MS Mincho"/>
        </w:rPr>
        <w:t>возможность</w:t>
      </w:r>
      <w:r w:rsidR="00696080" w:rsidRPr="00672F10">
        <w:rPr>
          <w:rFonts w:eastAsia="MS Mincho"/>
        </w:rPr>
        <w:t xml:space="preserve"> определения уровня гематокрита с погрешностью </w:t>
      </w:r>
      <w:r w:rsidR="003E67C0" w:rsidRPr="00672F10">
        <w:rPr>
          <w:rFonts w:eastAsia="MS Mincho"/>
        </w:rPr>
        <w:t>не хуже</w:t>
      </w:r>
      <w:r w:rsidR="00696080" w:rsidRPr="00672F10">
        <w:rPr>
          <w:rFonts w:eastAsia="MS Mincho"/>
        </w:rPr>
        <w:t xml:space="preserve"> 6%. Рассчитан и визуализирован параметр относительного объема крови. Разработанный сенсор может быть использован для создания компактных и экономичных систем мониторинга состояния пациентов в процессе гемодиализа, что позволит снизить риск осложнений и улучшить качество медицинской помощи</w:t>
      </w:r>
      <w:r w:rsidRPr="00672F10">
        <w:rPr>
          <w:rFonts w:eastAsia="MS Mincho"/>
        </w:rPr>
        <w:t xml:space="preserve">. </w:t>
      </w:r>
    </w:p>
    <w:p w14:paraId="5D0F26FC" w14:textId="2349FDE6" w:rsidR="0013123C" w:rsidRPr="00672F10" w:rsidRDefault="0013123C" w:rsidP="0013123C">
      <w:pPr>
        <w:pStyle w:val="ae"/>
      </w:pPr>
      <w:r w:rsidRPr="00672F10">
        <w:t xml:space="preserve">Ключевые слова: </w:t>
      </w:r>
      <w:r w:rsidR="00696080" w:rsidRPr="00672F10">
        <w:rPr>
          <w:rFonts w:eastAsia="MS Mincho"/>
        </w:rPr>
        <w:t>гематокрит; неинвазивный мониторинг; гемодиализ; оптический сенсор; инфракрасное излучение; относительный объем крови</w:t>
      </w:r>
    </w:p>
    <w:p w14:paraId="29576877" w14:textId="364F5F79" w:rsidR="0013123C" w:rsidRPr="00672F10" w:rsidRDefault="00696080" w:rsidP="0013123C">
      <w:pPr>
        <w:pStyle w:val="1"/>
      </w:pPr>
      <w:r w:rsidRPr="00672F10">
        <w:t>Введение</w:t>
      </w:r>
    </w:p>
    <w:p w14:paraId="16E2D2DF" w14:textId="32EB317B" w:rsidR="009F446D" w:rsidRPr="00672F10" w:rsidRDefault="00AF4E4E" w:rsidP="009F446D">
      <w:pPr>
        <w:pStyle w:val="a3"/>
      </w:pPr>
      <w:r w:rsidRPr="00672F10">
        <w:t xml:space="preserve">Гемодиализ является жизненно важной процедурой для пациентов с терминальной почечной недостаточностью. Серьезным осложнением во время ее проведения является </w:t>
      </w:r>
      <w:proofErr w:type="spellStart"/>
      <w:r w:rsidRPr="00672F10">
        <w:t>интрадиализная</w:t>
      </w:r>
      <w:proofErr w:type="spellEnd"/>
      <w:r w:rsidRPr="00672F10">
        <w:t xml:space="preserve"> гипотония (ИДГ), риск которой напрямую связан с изменениями объема циркулирующей крови и, как следствие, уровня гематокрита [1]. Непрерывный мониторинг этих параметров позволяет своевременно корректировать ход процедуры, снижая риск неблагоприятных исходов. Существующие методы определения гематокрита, такие как центрифугирование, расчетные методы или кондуктометрия, либо инвазивны, либо не обеспечивают непрерывного контроля в реальном времени, либо отличаются высокой стоимостью и чувствительностью к внешним факторам [2]. Перспективным направлением является использование оптических методов, в частности, основанных на анализе рассеяния света в ближнем инфракрасном (ИК) диапазоне [3]. Целью данной работы является разработка и экспериментальная апробация прототипа неинвазивного сенсора для мониторинга гематокрита и относительного объема </w:t>
      </w:r>
      <w:r w:rsidRPr="00672F10">
        <w:lastRenderedPageBreak/>
        <w:t>крови в реальном времени на основе двухволнового оптического метода.</w:t>
      </w:r>
    </w:p>
    <w:p w14:paraId="27F89A72" w14:textId="4682735F" w:rsidR="00D93F39" w:rsidRPr="00672F10" w:rsidRDefault="00D93F39" w:rsidP="00D93F39">
      <w:pPr>
        <w:pStyle w:val="1"/>
      </w:pPr>
      <w:r w:rsidRPr="00672F10">
        <w:t>Основная часть</w:t>
      </w:r>
    </w:p>
    <w:p w14:paraId="666E88C9" w14:textId="064F26BF" w:rsidR="002618CE" w:rsidRPr="00672F10" w:rsidRDefault="002618CE" w:rsidP="00D93F39">
      <w:pPr>
        <w:pStyle w:val="a3"/>
      </w:pPr>
      <w:r w:rsidRPr="00672F10">
        <w:t>В основе предлагаемой методики лежит прямая зависимость интенсивности света, рассеянного кровью, от концентрации эритроцитов. При прохождении через кровь свет подвергается поглощению и рассеянию, и именно интенсивность рассеянного назад света (обратное рассеяние) несет информацию о количестве форменных элементов. Однако применение классического закона Бугера</w:t>
      </w:r>
      <w:r w:rsidR="00CE0011">
        <w:t>–</w:t>
      </w:r>
      <w:r w:rsidRPr="00672F10">
        <w:t>Ламберта</w:t>
      </w:r>
      <w:r w:rsidR="00CE0011">
        <w:t>–</w:t>
      </w:r>
      <w:r w:rsidRPr="00672F10">
        <w:t>Бера для крови ограничено, так как она содержит макромолекулы (белки, липиды), существенно влияющие на рассеяние [4]. В связи с этим для описания процессов использована модифицированная модель Тверского, которая рассматривает общую оптическую плотность как сумму поглощения и рассеяния [5].</w:t>
      </w:r>
    </w:p>
    <w:p w14:paraId="45B54C1A" w14:textId="6A5E5D61" w:rsidR="002618CE" w:rsidRPr="00672F10" w:rsidRDefault="002618CE" w:rsidP="002618CE">
      <w:pPr>
        <w:pStyle w:val="2"/>
      </w:pPr>
      <w:r w:rsidRPr="00672F10">
        <w:t>Выбор длин волн</w:t>
      </w:r>
    </w:p>
    <w:p w14:paraId="243835D3" w14:textId="069815F5" w:rsidR="00AF4E4E" w:rsidRPr="00672F10" w:rsidRDefault="002618CE" w:rsidP="00D93F39">
      <w:pPr>
        <w:pStyle w:val="a3"/>
      </w:pPr>
      <w:r w:rsidRPr="00672F10">
        <w:t xml:space="preserve">Для повышения точности измерений и минимизации влияния вариаций состава крови необходим выбор спектрального диапазона. Ключевым фактором являются спектры поглощения основных компонентов крови: оксигемоглобина, </w:t>
      </w:r>
      <w:proofErr w:type="spellStart"/>
      <w:r w:rsidRPr="00672F10">
        <w:t>дезоксигемоглобина</w:t>
      </w:r>
      <w:proofErr w:type="spellEnd"/>
      <w:r w:rsidRPr="00672F10">
        <w:t xml:space="preserve"> и плазмы. На рисунке 1 представлены спектры поглощения различных форм гемоглобина и плазмы крови в видимом и ближнем ИК-диапазонах.</w:t>
      </w:r>
    </w:p>
    <w:p w14:paraId="5B7ACFDB" w14:textId="46363148" w:rsidR="008C2B09" w:rsidRPr="00672F10" w:rsidRDefault="008C2B09" w:rsidP="00D93F39">
      <w:pPr>
        <w:pStyle w:val="a3"/>
      </w:pPr>
      <w:r w:rsidRPr="00672F10">
        <w:t xml:space="preserve">Анализ спектров, приведенных на рисунке 1, показывает наличие изобестической точки для окси- и </w:t>
      </w:r>
      <w:proofErr w:type="spellStart"/>
      <w:r w:rsidRPr="00672F10">
        <w:t>дезоксигемоглобина</w:t>
      </w:r>
      <w:proofErr w:type="spellEnd"/>
      <w:r w:rsidRPr="00672F10">
        <w:t xml:space="preserve"> в области 800–810 нм. В данной точке коэффициенты поглощения обеих форм гемоглобина равны, что делает измерения на этой длине волны независимыми от насыщения крови кислородом. Это крайне важно для гемодиализа, где сатурация может варьировать. Поэтому в качестве первой длины волны </w:t>
      </w:r>
      <w:bookmarkStart w:id="2" w:name="_GoBack"/>
      <w:r w:rsidRPr="00672F10">
        <w:t>(</w:t>
      </w:r>
      <m:oMath>
        <m:sSub>
          <m:sSubPr>
            <m:ctrlPr>
              <w:rPr>
                <w:rFonts w:ascii="Cambria Math" w:hAnsi="Cambria Math"/>
              </w:rPr>
            </m:ctrlPr>
          </m:sSubPr>
          <m:e>
            <m:r>
              <w:rPr>
                <w:rFonts w:ascii="Cambria Math" w:hAnsi="Cambria Math"/>
              </w:rPr>
              <m:t>λ</m:t>
            </m:r>
          </m:e>
          <m:sub>
            <m:r>
              <w:rPr>
                <w:rFonts w:ascii="Cambria Math" w:hAnsi="Cambria Math"/>
              </w:rPr>
              <m:t>1</m:t>
            </m:r>
          </m:sub>
        </m:sSub>
      </m:oMath>
      <w:r w:rsidRPr="00672F10">
        <w:t>) была выбрана 810 нм.</w:t>
      </w:r>
    </w:p>
    <w:bookmarkEnd w:id="2"/>
    <w:p w14:paraId="42A2F7C3" w14:textId="2FE3FE21" w:rsidR="002618CE" w:rsidRPr="00672F10" w:rsidRDefault="008C2B09" w:rsidP="008C2B09">
      <w:pPr>
        <w:pStyle w:val="a3"/>
        <w:ind w:firstLine="0"/>
      </w:pPr>
      <w:r w:rsidRPr="00672F10">
        <w:rPr>
          <w:noProof/>
          <w:lang w:eastAsia="ru-RU"/>
        </w:rPr>
        <w:lastRenderedPageBreak/>
        <w:drawing>
          <wp:inline distT="0" distB="0" distL="0" distR="0" wp14:anchorId="58990936" wp14:editId="69B89B67">
            <wp:extent cx="3094330" cy="2147978"/>
            <wp:effectExtent l="0" t="0" r="0" b="5080"/>
            <wp:docPr id="6" name="Рисунок 5">
              <a:extLst xmlns:a="http://schemas.openxmlformats.org/drawingml/2006/main">
                <a:ext uri="{FF2B5EF4-FFF2-40B4-BE49-F238E27FC236}">
                  <a16:creationId xmlns:a16="http://schemas.microsoft.com/office/drawing/2014/main"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544F5C46-56B4-8297-BCCC-DE764620DE4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Рисунок 5">
                      <a:extLst>
                        <a:ext uri="{FF2B5EF4-FFF2-40B4-BE49-F238E27FC236}">
                          <a16:creationId xmlns:a16="http://schemas.microsoft.com/office/drawing/2014/main"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544F5C46-56B4-8297-BCCC-DE764620DE4A}"/>
                        </a:ext>
                      </a:extLst>
                    </pic:cNvPr>
                    <pic:cNvPicPr>
                      <a:picLocks noChangeAspect="1"/>
                    </pic:cNvPicPr>
                  </pic:nvPicPr>
                  <pic:blipFill>
                    <a:blip r:embed="rId14"/>
                    <a:stretch>
                      <a:fillRect/>
                    </a:stretch>
                  </pic:blipFill>
                  <pic:spPr>
                    <a:xfrm>
                      <a:off x="0" y="0"/>
                      <a:ext cx="3128819" cy="2171919"/>
                    </a:xfrm>
                    <a:prstGeom prst="rect">
                      <a:avLst/>
                    </a:prstGeom>
                  </pic:spPr>
                </pic:pic>
              </a:graphicData>
            </a:graphic>
          </wp:inline>
        </w:drawing>
      </w:r>
    </w:p>
    <w:p w14:paraId="144D78FA" w14:textId="75CD2BB3" w:rsidR="008C2B09" w:rsidRPr="00672F10" w:rsidRDefault="008C2B09" w:rsidP="00CE0011">
      <w:pPr>
        <w:pStyle w:val="a"/>
        <w:rPr>
          <w:rFonts w:eastAsia="SimSun"/>
          <w:i/>
          <w:iCs/>
          <w:noProof/>
        </w:rPr>
      </w:pPr>
      <w:r w:rsidRPr="00672F10">
        <w:t>Спектр поглощения форм гемоглобина и плазмы крови в ближнем ИК диапазоне [6]</w:t>
      </w:r>
    </w:p>
    <w:p w14:paraId="5E844B66" w14:textId="762FF155" w:rsidR="008C2B09" w:rsidRPr="00672F10" w:rsidRDefault="004070B0" w:rsidP="00D93F39">
      <w:pPr>
        <w:pStyle w:val="a3"/>
      </w:pPr>
      <w:r w:rsidRPr="00672F10">
        <w:t xml:space="preserve">Выбор второй длины волны представляет более сложную задачу, поскольку в ближнем ИК-диапазоне спектры окси- и </w:t>
      </w:r>
      <w:proofErr w:type="spellStart"/>
      <w:r w:rsidRPr="00672F10">
        <w:t>дезоксигемоглобина</w:t>
      </w:r>
      <w:proofErr w:type="spellEnd"/>
      <w:r w:rsidRPr="00672F10">
        <w:t xml:space="preserve"> более не пересекаются. В связи с этим было принято решение использовать длину волны, </w:t>
      </w:r>
      <w:r w:rsidR="00242673" w:rsidRPr="00672F10">
        <w:t xml:space="preserve">которая является изобестической точкой </w:t>
      </w:r>
      <w:r w:rsidRPr="00672F10">
        <w:t xml:space="preserve">плазмы крови и </w:t>
      </w:r>
      <w:proofErr w:type="spellStart"/>
      <w:r w:rsidRPr="00672F10">
        <w:t>метмиоглобина</w:t>
      </w:r>
      <w:proofErr w:type="spellEnd"/>
      <w:r w:rsidRPr="00672F10">
        <w:t>. На рис</w:t>
      </w:r>
      <w:r w:rsidR="00CE0011">
        <w:t>.</w:t>
      </w:r>
      <w:r w:rsidRPr="00672F10">
        <w:t xml:space="preserve"> 1 это соответствует длине волны приблизительно 1300</w:t>
      </w:r>
      <w:r w:rsidR="00CE0011">
        <w:t> </w:t>
      </w:r>
      <w:r w:rsidRPr="00672F10">
        <w:t>нм. Таким образом, в разработанном методе используются два ИК-светодиода с максимумами излучения 810</w:t>
      </w:r>
      <w:r w:rsidR="00CE0011">
        <w:t> </w:t>
      </w:r>
      <w:r w:rsidRPr="00672F10">
        <w:t>нм и 1300</w:t>
      </w:r>
      <w:r w:rsidR="00CE0011">
        <w:t> </w:t>
      </w:r>
      <w:r w:rsidRPr="00672F10">
        <w:t>нм, что позволяет минимизировать влияние как насыщения крови кислородом, так и вариаций поглощения плазмой [</w:t>
      </w:r>
      <w:r w:rsidR="00F93AF6" w:rsidRPr="00672F10">
        <w:t>6</w:t>
      </w:r>
      <w:r w:rsidRPr="00672F10">
        <w:t>].</w:t>
      </w:r>
    </w:p>
    <w:p w14:paraId="471139D3" w14:textId="5EFDFE4A" w:rsidR="008C2B09" w:rsidRPr="00672F10" w:rsidRDefault="008C2B09" w:rsidP="00242673">
      <w:pPr>
        <w:pStyle w:val="2"/>
        <w:tabs>
          <w:tab w:val="clear" w:pos="360"/>
        </w:tabs>
        <w:ind w:left="0" w:firstLine="0"/>
      </w:pPr>
      <w:r w:rsidRPr="00672F10">
        <w:t xml:space="preserve">Влияние </w:t>
      </w:r>
      <w:r w:rsidR="00FC3195" w:rsidRPr="00672F10">
        <w:t xml:space="preserve">оптических свойств </w:t>
      </w:r>
      <w:r w:rsidRPr="00672F10">
        <w:t xml:space="preserve">материала </w:t>
      </w:r>
      <w:r w:rsidR="00FC3195" w:rsidRPr="00672F10">
        <w:t>экстракорпоральной магистрали</w:t>
      </w:r>
    </w:p>
    <w:p w14:paraId="0C5CA2A0" w14:textId="1AD8D9AE" w:rsidR="004070B0" w:rsidRPr="00672F10" w:rsidRDefault="004070B0" w:rsidP="004070B0">
      <w:pPr>
        <w:pStyle w:val="a3"/>
      </w:pPr>
      <w:r w:rsidRPr="00672F10">
        <w:t xml:space="preserve">Поскольку сенсор предполагается </w:t>
      </w:r>
      <w:r w:rsidR="001760F7" w:rsidRPr="00672F10">
        <w:t>размещать</w:t>
      </w:r>
      <w:r w:rsidRPr="00672F10">
        <w:t xml:space="preserve"> непосредственно на </w:t>
      </w:r>
      <w:r w:rsidR="001760F7" w:rsidRPr="00672F10">
        <w:t>экстракорпоральной магистрали</w:t>
      </w:r>
      <w:r w:rsidRPr="00672F10">
        <w:t xml:space="preserve"> аппарата гемодиализа, важным вопросом является влияние материала трубки на оптические измерения. </w:t>
      </w:r>
      <w:r w:rsidR="001760F7" w:rsidRPr="00672F10">
        <w:t>Медицинские с</w:t>
      </w:r>
      <w:r w:rsidRPr="00672F10">
        <w:t xml:space="preserve">иликоновые трубки </w:t>
      </w:r>
      <w:r w:rsidR="001760F7" w:rsidRPr="00672F10">
        <w:t>прозрачны для оптического излучения в широком спектральном диапазоне</w:t>
      </w:r>
      <w:r w:rsidRPr="00672F10">
        <w:t>, включая используемые в методе длины волн.</w:t>
      </w:r>
    </w:p>
    <w:p w14:paraId="688FBE4E" w14:textId="430370A8" w:rsidR="004070B0" w:rsidRPr="00672F10" w:rsidRDefault="004070B0" w:rsidP="004070B0">
      <w:pPr>
        <w:pStyle w:val="a3"/>
      </w:pPr>
      <w:r w:rsidRPr="00672F10">
        <w:t>Согласно исследованиям компании Master Bond, большинство видов силиконовой резины и оптически прозрачных эпоксидных смол практически не создают помех для прохождения света в ближнем ИК-диапазоне. Результаты измерений оптического пропускания для различных материалов, используемых в производстве медицинских трубок, представлены в табл</w:t>
      </w:r>
      <w:r w:rsidR="00CE0011">
        <w:t>.</w:t>
      </w:r>
      <w:r w:rsidRPr="00672F10">
        <w:t xml:space="preserve"> 1 [</w:t>
      </w:r>
      <w:r w:rsidR="00F93AF6" w:rsidRPr="00672F10">
        <w:t>7</w:t>
      </w:r>
      <w:r w:rsidRPr="00672F10">
        <w:t>].</w:t>
      </w:r>
    </w:p>
    <w:p w14:paraId="6D849A53" w14:textId="568CEB6C" w:rsidR="004070B0" w:rsidRPr="00672F10" w:rsidRDefault="004070B0" w:rsidP="004070B0">
      <w:pPr>
        <w:pStyle w:val="a1"/>
        <w:tabs>
          <w:tab w:val="clear" w:pos="567"/>
        </w:tabs>
        <w:ind w:left="284" w:firstLine="0"/>
      </w:pPr>
      <w:r w:rsidRPr="00672F10">
        <w:t>Результаты теста оптической передачи для различных материалов [</w:t>
      </w:r>
      <w:r w:rsidR="00773C3C" w:rsidRPr="00672F10">
        <w:t>8</w:t>
      </w:r>
      <w:r w:rsidRPr="00672F10">
        <w:t>]</w:t>
      </w:r>
    </w:p>
    <w:tbl>
      <w:tblPr>
        <w:tblStyle w:val="af0"/>
        <w:tblW w:w="4876" w:type="dxa"/>
        <w:jc w:val="center"/>
        <w:tblLook w:val="04A0" w:firstRow="1" w:lastRow="0" w:firstColumn="1" w:lastColumn="0" w:noHBand="0" w:noVBand="1"/>
      </w:tblPr>
      <w:tblGrid>
        <w:gridCol w:w="1621"/>
        <w:gridCol w:w="3255"/>
      </w:tblGrid>
      <w:tr w:rsidR="004070B0" w:rsidRPr="00672F10" w14:paraId="77784509" w14:textId="77777777" w:rsidTr="00CE0011">
        <w:trPr>
          <w:jc w:val="center"/>
        </w:trPr>
        <w:tc>
          <w:tcPr>
            <w:tcW w:w="1129" w:type="dxa"/>
          </w:tcPr>
          <w:p w14:paraId="13215E89" w14:textId="69D7EDD8" w:rsidR="004070B0" w:rsidRPr="00672F10" w:rsidRDefault="004070B0" w:rsidP="004070B0">
            <w:pPr>
              <w:pStyle w:val="af1"/>
              <w:jc w:val="center"/>
              <w:rPr>
                <w:b/>
              </w:rPr>
            </w:pPr>
            <w:r w:rsidRPr="00672F10">
              <w:t>Продукт</w:t>
            </w:r>
          </w:p>
        </w:tc>
        <w:tc>
          <w:tcPr>
            <w:tcW w:w="2268" w:type="dxa"/>
          </w:tcPr>
          <w:p w14:paraId="02347555" w14:textId="1620D27F" w:rsidR="004070B0" w:rsidRPr="00672F10" w:rsidRDefault="004070B0" w:rsidP="004070B0">
            <w:pPr>
              <w:pStyle w:val="af1"/>
              <w:jc w:val="center"/>
            </w:pPr>
            <w:r w:rsidRPr="00672F10">
              <w:t>ИК-передача (700-2000 нм)</w:t>
            </w:r>
          </w:p>
        </w:tc>
      </w:tr>
      <w:tr w:rsidR="004070B0" w:rsidRPr="00672F10" w14:paraId="683278EE" w14:textId="77777777" w:rsidTr="00CE0011">
        <w:trPr>
          <w:jc w:val="center"/>
        </w:trPr>
        <w:tc>
          <w:tcPr>
            <w:tcW w:w="1129" w:type="dxa"/>
          </w:tcPr>
          <w:p w14:paraId="5BFD672C" w14:textId="7D58AA56" w:rsidR="004070B0" w:rsidRPr="00672F10" w:rsidRDefault="004070B0" w:rsidP="004070B0">
            <w:pPr>
              <w:pStyle w:val="af1"/>
              <w:jc w:val="center"/>
            </w:pPr>
            <w:r w:rsidRPr="00672F10">
              <w:t>EP30</w:t>
            </w:r>
          </w:p>
        </w:tc>
        <w:tc>
          <w:tcPr>
            <w:tcW w:w="2268" w:type="dxa"/>
          </w:tcPr>
          <w:p w14:paraId="236BFB65" w14:textId="5481B8D2" w:rsidR="004070B0" w:rsidRPr="00672F10" w:rsidRDefault="004070B0" w:rsidP="004070B0">
            <w:pPr>
              <w:pStyle w:val="af1"/>
              <w:jc w:val="center"/>
            </w:pPr>
            <w:r w:rsidRPr="00672F10">
              <w:t>&gt;95%</w:t>
            </w:r>
          </w:p>
        </w:tc>
      </w:tr>
      <w:tr w:rsidR="004070B0" w:rsidRPr="00672F10" w14:paraId="338D9124" w14:textId="77777777" w:rsidTr="00CE0011">
        <w:trPr>
          <w:jc w:val="center"/>
        </w:trPr>
        <w:tc>
          <w:tcPr>
            <w:tcW w:w="1129" w:type="dxa"/>
          </w:tcPr>
          <w:p w14:paraId="73563673" w14:textId="01D88AE0" w:rsidR="004070B0" w:rsidRPr="00672F10" w:rsidRDefault="004070B0" w:rsidP="004070B0">
            <w:pPr>
              <w:pStyle w:val="af1"/>
              <w:jc w:val="center"/>
            </w:pPr>
            <w:proofErr w:type="spellStart"/>
            <w:r w:rsidRPr="00672F10">
              <w:t>MasterSil</w:t>
            </w:r>
            <w:proofErr w:type="spellEnd"/>
            <w:r w:rsidRPr="00672F10">
              <w:t xml:space="preserve"> 151</w:t>
            </w:r>
          </w:p>
        </w:tc>
        <w:tc>
          <w:tcPr>
            <w:tcW w:w="2268" w:type="dxa"/>
          </w:tcPr>
          <w:p w14:paraId="4D73C5F9" w14:textId="1CEB8E3B" w:rsidR="004070B0" w:rsidRPr="00672F10" w:rsidRDefault="004070B0" w:rsidP="004070B0">
            <w:pPr>
              <w:pStyle w:val="af1"/>
              <w:jc w:val="center"/>
            </w:pPr>
            <w:r w:rsidRPr="00672F10">
              <w:t>&gt;95%</w:t>
            </w:r>
          </w:p>
        </w:tc>
      </w:tr>
      <w:tr w:rsidR="004070B0" w:rsidRPr="00672F10" w14:paraId="393066E9" w14:textId="77777777" w:rsidTr="00CE0011">
        <w:trPr>
          <w:jc w:val="center"/>
        </w:trPr>
        <w:tc>
          <w:tcPr>
            <w:tcW w:w="1129" w:type="dxa"/>
          </w:tcPr>
          <w:p w14:paraId="5BD3861C" w14:textId="70CF7BE2" w:rsidR="004070B0" w:rsidRPr="00672F10" w:rsidRDefault="004070B0" w:rsidP="004070B0">
            <w:pPr>
              <w:pStyle w:val="af1"/>
              <w:jc w:val="center"/>
            </w:pPr>
            <w:r w:rsidRPr="00672F10">
              <w:t>MB600</w:t>
            </w:r>
          </w:p>
        </w:tc>
        <w:tc>
          <w:tcPr>
            <w:tcW w:w="2268" w:type="dxa"/>
          </w:tcPr>
          <w:p w14:paraId="5CCCD5BC" w14:textId="27057A74" w:rsidR="004070B0" w:rsidRPr="00672F10" w:rsidRDefault="004070B0" w:rsidP="004070B0">
            <w:pPr>
              <w:pStyle w:val="af1"/>
              <w:jc w:val="center"/>
            </w:pPr>
            <w:r w:rsidRPr="00672F10">
              <w:t>&gt;90%</w:t>
            </w:r>
          </w:p>
        </w:tc>
      </w:tr>
      <w:tr w:rsidR="004070B0" w:rsidRPr="00672F10" w14:paraId="7E805BAF" w14:textId="77777777" w:rsidTr="00CE0011">
        <w:trPr>
          <w:jc w:val="center"/>
        </w:trPr>
        <w:tc>
          <w:tcPr>
            <w:tcW w:w="1129" w:type="dxa"/>
          </w:tcPr>
          <w:p w14:paraId="60A6A6AC" w14:textId="593A78F0" w:rsidR="004070B0" w:rsidRPr="00672F10" w:rsidRDefault="004070B0" w:rsidP="004070B0">
            <w:pPr>
              <w:pStyle w:val="af1"/>
              <w:jc w:val="center"/>
            </w:pPr>
            <w:r w:rsidRPr="00672F10">
              <w:t>UV15</w:t>
            </w:r>
          </w:p>
        </w:tc>
        <w:tc>
          <w:tcPr>
            <w:tcW w:w="2268" w:type="dxa"/>
          </w:tcPr>
          <w:p w14:paraId="7455112A" w14:textId="6A210885" w:rsidR="004070B0" w:rsidRPr="00672F10" w:rsidRDefault="004070B0" w:rsidP="004070B0">
            <w:pPr>
              <w:pStyle w:val="af1"/>
              <w:jc w:val="center"/>
            </w:pPr>
            <w:r w:rsidRPr="00672F10">
              <w:t>&gt;95%</w:t>
            </w:r>
          </w:p>
        </w:tc>
      </w:tr>
    </w:tbl>
    <w:p w14:paraId="7714A34F" w14:textId="0604AFAA" w:rsidR="004070B0" w:rsidRPr="00672F10" w:rsidRDefault="004070B0" w:rsidP="00CE0011">
      <w:pPr>
        <w:pStyle w:val="2"/>
        <w:spacing w:before="240"/>
        <w:ind w:left="289" w:hanging="289"/>
      </w:pPr>
      <w:r w:rsidRPr="00672F10">
        <w:t>Математическая модель измерений</w:t>
      </w:r>
    </w:p>
    <w:p w14:paraId="615B4586" w14:textId="2AE6ECA3" w:rsidR="00773C3C" w:rsidRPr="00672F10" w:rsidRDefault="00773C3C" w:rsidP="00D93F39">
      <w:pPr>
        <w:pStyle w:val="a3"/>
      </w:pPr>
      <w:r w:rsidRPr="00672F10">
        <w:t>Ключевой особенностью разработанной методики, является использование двух точек детектирования – метод двойного детектирования, который представлен на рис</w:t>
      </w:r>
      <w:r w:rsidR="00CE0011">
        <w:t>. </w:t>
      </w:r>
      <w:r w:rsidRPr="00672F10">
        <w:t>2.</w:t>
      </w:r>
    </w:p>
    <w:p w14:paraId="636C5EB0" w14:textId="1777FE8E" w:rsidR="00773C3C" w:rsidRPr="00672F10" w:rsidRDefault="00773C3C" w:rsidP="00773C3C">
      <w:pPr>
        <w:pStyle w:val="a3"/>
      </w:pPr>
      <w:r w:rsidRPr="00672F10">
        <w:t>Схема предлагаемого метода измерения представлена на рис</w:t>
      </w:r>
      <w:r w:rsidR="00CE0011">
        <w:t>.</w:t>
      </w:r>
      <w:r w:rsidRPr="00672F10">
        <w:t xml:space="preserve"> 1, где I₀ и I – интенсивности падающего и прошедшего света; RBC – эритроциты; L – длина </w:t>
      </w:r>
      <w:r w:rsidRPr="00672F10">
        <w:lastRenderedPageBreak/>
        <w:t xml:space="preserve">оптического пути. Доля плазмы в этом случае будет рассчитываться по формуле </w:t>
      </w:r>
      <w:r w:rsidR="00CE0011">
        <w:t>(</w:t>
      </w:r>
      <w:r w:rsidRPr="00672F10">
        <w:t>1</w:t>
      </w:r>
      <w:r w:rsidR="00CE0011">
        <w:t xml:space="preserve">) </w:t>
      </w:r>
      <w:r w:rsidRPr="00672F10">
        <w:t>–</w:t>
      </w:r>
      <w:r w:rsidR="00CE0011">
        <w:t xml:space="preserve"> </w:t>
      </w:r>
      <w:r w:rsidRPr="00672F10">
        <w:t>HCT(%)</w:t>
      </w:r>
      <w:r w:rsidR="00242673" w:rsidRPr="00672F10">
        <w:t>, где HCT(%) – доля эритроцитов</w:t>
      </w:r>
      <w:r w:rsidRPr="00672F10">
        <w:t xml:space="preserve"> [7].</w:t>
      </w:r>
    </w:p>
    <w:p w14:paraId="4F79822B" w14:textId="77777777" w:rsidR="00773C3C" w:rsidRPr="00672F10" w:rsidRDefault="00773C3C" w:rsidP="00773C3C">
      <w:pPr>
        <w:pStyle w:val="a3"/>
        <w:spacing w:before="180"/>
        <w:ind w:firstLine="0"/>
        <w:jc w:val="center"/>
      </w:pPr>
      <w:r w:rsidRPr="00672F10">
        <w:rPr>
          <w:noProof/>
          <w:spacing w:val="-4"/>
          <w:sz w:val="22"/>
          <w:lang w:eastAsia="ru-RU"/>
        </w:rPr>
        <w:drawing>
          <wp:inline distT="0" distB="0" distL="0" distR="0" wp14:anchorId="688F86EF" wp14:editId="65385F8E">
            <wp:extent cx="3095638" cy="1862628"/>
            <wp:effectExtent l="0" t="0" r="0" b="4445"/>
            <wp:docPr id="730951969"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3982813" name=""/>
                    <pic:cNvPicPr/>
                  </pic:nvPicPr>
                  <pic:blipFill>
                    <a:blip r:embed="rId15"/>
                    <a:stretch>
                      <a:fillRect/>
                    </a:stretch>
                  </pic:blipFill>
                  <pic:spPr>
                    <a:xfrm>
                      <a:off x="0" y="0"/>
                      <a:ext cx="3124466" cy="1879974"/>
                    </a:xfrm>
                    <a:prstGeom prst="rect">
                      <a:avLst/>
                    </a:prstGeom>
                  </pic:spPr>
                </pic:pic>
              </a:graphicData>
            </a:graphic>
          </wp:inline>
        </w:drawing>
      </w:r>
    </w:p>
    <w:p w14:paraId="5BE10AE8" w14:textId="2E40D988" w:rsidR="00773C3C" w:rsidRPr="00672F10" w:rsidRDefault="00773C3C" w:rsidP="004F7362">
      <w:pPr>
        <w:pStyle w:val="a"/>
        <w:rPr>
          <w:rFonts w:eastAsia="SimSun"/>
          <w:i/>
          <w:iCs/>
          <w:noProof/>
        </w:rPr>
      </w:pPr>
      <w:r w:rsidRPr="00672F10">
        <w:t xml:space="preserve">Схема предлагаемого метода измерения </w:t>
      </w:r>
      <w:r w:rsidRPr="00672F10">
        <w:rPr>
          <w:lang w:val="en-US"/>
        </w:rPr>
        <w:t>[</w:t>
      </w:r>
      <w:r w:rsidRPr="00672F10">
        <w:t>7</w:t>
      </w:r>
      <w:r w:rsidRPr="00672F10">
        <w:rPr>
          <w:lang w:val="en-US"/>
        </w:rPr>
        <w:t>]</w:t>
      </w:r>
    </w:p>
    <w:p w14:paraId="0CB87EBC" w14:textId="2752EDD8" w:rsidR="00773C3C" w:rsidRPr="00672F10" w:rsidRDefault="00773C3C" w:rsidP="00D93F39">
      <w:pPr>
        <w:pStyle w:val="a3"/>
      </w:pPr>
      <w:r w:rsidRPr="00672F10">
        <w:t xml:space="preserve"> Это позволяет исключить влияние таких трудно контролируемых факторов, как интенсивность падающего света (</w:t>
      </w:r>
      <m:oMath>
        <m:sSub>
          <m:sSubPr>
            <m:ctrlPr>
              <w:rPr>
                <w:rFonts w:ascii="Cambria Math" w:hAnsi="Cambria Math"/>
              </w:rPr>
            </m:ctrlPr>
          </m:sSubPr>
          <m:e>
            <m:r>
              <w:rPr>
                <w:rFonts w:ascii="Cambria Math" w:hAnsi="Cambria Math"/>
              </w:rPr>
              <m:t>I</m:t>
            </m:r>
          </m:e>
          <m:sub>
            <m:r>
              <w:rPr>
                <w:rFonts w:ascii="Cambria Math" w:hAnsi="Cambria Math"/>
              </w:rPr>
              <m:t>0</m:t>
            </m:r>
          </m:sub>
        </m:sSub>
      </m:oMath>
      <w:r w:rsidRPr="00672F10">
        <w:t>), оптическая длина пути (</w:t>
      </w:r>
      <m:oMath>
        <m:r>
          <w:rPr>
            <w:rFonts w:ascii="Cambria Math" w:hAnsi="Cambria Math"/>
          </w:rPr>
          <m:t>L</m:t>
        </m:r>
      </m:oMath>
      <w:r w:rsidRPr="00672F10">
        <w:t xml:space="preserve">), которая может варьироваться для разных аппаратов гемодиализа, и </w:t>
      </w:r>
      <w:r w:rsidR="001760F7" w:rsidRPr="00672F10">
        <w:t>светопропускание</w:t>
      </w:r>
      <w:r w:rsidRPr="00672F10">
        <w:t xml:space="preserve"> материала диализной трубки (</w:t>
      </w:r>
      <m:oMath>
        <m:sSub>
          <m:sSubPr>
            <m:ctrlPr>
              <w:rPr>
                <w:rFonts w:ascii="Cambria Math" w:hAnsi="Cambria Math"/>
              </w:rPr>
            </m:ctrlPr>
          </m:sSubPr>
          <m:e>
            <m:r>
              <w:rPr>
                <w:rFonts w:ascii="Cambria Math" w:hAnsi="Cambria Math"/>
              </w:rPr>
              <m:t>P</m:t>
            </m:r>
          </m:e>
          <m:sub>
            <m:r>
              <w:rPr>
                <w:rFonts w:ascii="Cambria Math" w:hAnsi="Cambria Math"/>
              </w:rPr>
              <m:t>T</m:t>
            </m:r>
          </m:sub>
        </m:sSub>
      </m:oMath>
      <w:r w:rsidRPr="00672F10">
        <w:t>). Данные параметры присутствуют в линейных членах уравнения, описывающего затухание света, и могут быть исключены при рассмотрении разности сигналов с двух фотодиодов, расположенных на разном удалении от источника. Ниже приведены ключевые уравнения, описывающие предложенный метод.</w:t>
      </w:r>
    </w:p>
    <w:p w14:paraId="0E80915C" w14:textId="44F882A3" w:rsidR="00D93F39" w:rsidRPr="00672F10" w:rsidRDefault="00D93F39" w:rsidP="00D93F39">
      <w:pPr>
        <w:pStyle w:val="a3"/>
      </w:pPr>
      <w:r w:rsidRPr="00672F10">
        <w:t>Расчет уровня гематокрита проводился по формуле, выведенной из модели Тверского для двух длин волн и двух точек детектирования:</w:t>
      </w:r>
    </w:p>
    <w:p w14:paraId="3EB6BE9A" w14:textId="77777777" w:rsidR="003420E3" w:rsidRPr="00672F10" w:rsidRDefault="00A46599" w:rsidP="00D93F39">
      <w:pPr>
        <w:pStyle w:val="a3"/>
        <w:rPr>
          <w:szCs w:val="28"/>
        </w:rPr>
      </w:pPr>
      <m:oMathPara>
        <m:oMath>
          <m:eqArr>
            <m:eqArrPr>
              <m:maxDist m:val="1"/>
              <m:ctrlPr>
                <w:rPr>
                  <w:rFonts w:ascii="Cambria Math" w:eastAsiaTheme="minorEastAsia" w:hAnsi="Cambria Math"/>
                  <w:szCs w:val="28"/>
                </w:rPr>
              </m:ctrlPr>
            </m:eqArrPr>
            <m:e>
              <m:r>
                <w:rPr>
                  <w:rFonts w:ascii="Cambria Math" w:eastAsiaTheme="minorEastAsia" w:hAnsi="Cambria Math"/>
                  <w:szCs w:val="28"/>
                </w:rPr>
                <m:t>HCT</m:t>
              </m:r>
              <m:r>
                <w:rPr>
                  <w:rFonts w:ascii="Cambria Math" w:eastAsiaTheme="minorEastAsia" w:hAnsi="Cambria Math"/>
                  <w:szCs w:val="28"/>
                </w:rPr>
                <m:t>=</m:t>
              </m:r>
              <m:r>
                <w:rPr>
                  <w:rFonts w:ascii="Cambria Math" w:eastAsiaTheme="minorEastAsia" w:hAnsi="Cambria Math"/>
                  <w:szCs w:val="28"/>
                </w:rPr>
                <m:t>α</m:t>
              </m:r>
              <m:sSub>
                <m:sSubPr>
                  <m:ctrlPr>
                    <w:rPr>
                      <w:rFonts w:ascii="Cambria Math" w:eastAsiaTheme="minorEastAsia" w:hAnsi="Cambria Math"/>
                      <w:i/>
                      <w:szCs w:val="28"/>
                    </w:rPr>
                  </m:ctrlPr>
                </m:sSubPr>
                <m:e>
                  <m:r>
                    <m:rPr>
                      <m:sty m:val="p"/>
                    </m:rPr>
                    <w:rPr>
                      <w:rFonts w:ascii="Cambria Math" w:eastAsiaTheme="minorEastAsia" w:hAnsi="Cambria Math"/>
                      <w:szCs w:val="28"/>
                    </w:rPr>
                    <m:t>log</m:t>
                  </m:r>
                </m:e>
                <m:sub>
                  <m:r>
                    <w:rPr>
                      <w:rFonts w:ascii="Cambria Math" w:eastAsiaTheme="minorEastAsia" w:hAnsi="Cambria Math"/>
                      <w:szCs w:val="28"/>
                    </w:rPr>
                    <m:t>10</m:t>
                  </m:r>
                </m:sub>
              </m:sSub>
              <m:sSub>
                <m:sSubPr>
                  <m:ctrlPr>
                    <w:rPr>
                      <w:rFonts w:ascii="Cambria Math" w:eastAsiaTheme="minorEastAsia" w:hAnsi="Cambria Math"/>
                      <w:i/>
                      <w:szCs w:val="28"/>
                    </w:rPr>
                  </m:ctrlPr>
                </m:sSubPr>
                <m:e>
                  <m:d>
                    <m:dPr>
                      <m:ctrlPr>
                        <w:rPr>
                          <w:rFonts w:ascii="Cambria Math" w:eastAsiaTheme="minorEastAsia" w:hAnsi="Cambria Math"/>
                          <w:i/>
                          <w:szCs w:val="28"/>
                        </w:rPr>
                      </m:ctrlPr>
                    </m:dPr>
                    <m:e>
                      <m:f>
                        <m:fPr>
                          <m:type m:val="lin"/>
                          <m:ctrlPr>
                            <w:rPr>
                              <w:rFonts w:ascii="Cambria Math" w:eastAsiaTheme="minorEastAsia" w:hAnsi="Cambria Math"/>
                              <w:i/>
                              <w:szCs w:val="28"/>
                            </w:rPr>
                          </m:ctrlPr>
                        </m:fPr>
                        <m:num>
                          <m:r>
                            <w:rPr>
                              <w:rFonts w:ascii="Cambria Math" w:eastAsiaTheme="minorEastAsia" w:hAnsi="Cambria Math"/>
                              <w:szCs w:val="28"/>
                            </w:rPr>
                            <m:t>I</m:t>
                          </m:r>
                        </m:num>
                        <m:den>
                          <m:r>
                            <w:rPr>
                              <w:rFonts w:ascii="Cambria Math" w:eastAsiaTheme="minorEastAsia" w:hAnsi="Cambria Math"/>
                              <w:szCs w:val="28"/>
                            </w:rPr>
                            <m:t>(</m:t>
                          </m:r>
                          <m:r>
                            <w:rPr>
                              <w:rFonts w:ascii="Cambria Math" w:eastAsiaTheme="minorEastAsia" w:hAnsi="Cambria Math"/>
                              <w:szCs w:val="28"/>
                            </w:rPr>
                            <m:t>I</m:t>
                          </m:r>
                          <m:r>
                            <w:rPr>
                              <w:rFonts w:ascii="Cambria Math" w:eastAsiaTheme="minorEastAsia" w:hAnsi="Cambria Math"/>
                              <w:szCs w:val="28"/>
                            </w:rPr>
                            <m:t>-∆</m:t>
                          </m:r>
                          <m:r>
                            <w:rPr>
                              <w:rFonts w:ascii="Cambria Math" w:eastAsiaTheme="minorEastAsia" w:hAnsi="Cambria Math"/>
                              <w:szCs w:val="28"/>
                            </w:rPr>
                            <m:t>I</m:t>
                          </m:r>
                          <m:r>
                            <w:rPr>
                              <w:rFonts w:ascii="Cambria Math" w:eastAsiaTheme="minorEastAsia" w:hAnsi="Cambria Math"/>
                              <w:szCs w:val="28"/>
                            </w:rPr>
                            <m:t>)</m:t>
                          </m:r>
                        </m:den>
                      </m:f>
                    </m:e>
                  </m:d>
                </m:e>
                <m:sub>
                  <m:sSub>
                    <m:sSubPr>
                      <m:ctrlPr>
                        <w:rPr>
                          <w:rFonts w:ascii="Cambria Math" w:eastAsiaTheme="minorEastAsia" w:hAnsi="Cambria Math"/>
                          <w:i/>
                          <w:szCs w:val="28"/>
                        </w:rPr>
                      </m:ctrlPr>
                    </m:sSubPr>
                    <m:e>
                      <m:r>
                        <w:rPr>
                          <w:rFonts w:ascii="Cambria Math" w:eastAsiaTheme="minorEastAsia" w:hAnsi="Cambria Math"/>
                          <w:szCs w:val="28"/>
                        </w:rPr>
                        <m:t>λ</m:t>
                      </m:r>
                    </m:e>
                    <m:sub>
                      <m:r>
                        <w:rPr>
                          <w:rFonts w:ascii="Cambria Math" w:eastAsiaTheme="minorEastAsia" w:hAnsi="Cambria Math"/>
                          <w:szCs w:val="28"/>
                        </w:rPr>
                        <m:t>1</m:t>
                      </m:r>
                    </m:sub>
                  </m:sSub>
                </m:sub>
              </m:sSub>
              <m:r>
                <w:rPr>
                  <w:rFonts w:ascii="Cambria Math" w:eastAsiaTheme="minorEastAsia" w:hAnsi="Cambria Math"/>
                  <w:szCs w:val="28"/>
                </w:rPr>
                <m:t>/</m:t>
              </m:r>
              <m:sSub>
                <m:sSubPr>
                  <m:ctrlPr>
                    <w:rPr>
                      <w:rFonts w:ascii="Cambria Math" w:eastAsiaTheme="minorEastAsia" w:hAnsi="Cambria Math"/>
                      <w:i/>
                      <w:szCs w:val="28"/>
                    </w:rPr>
                  </m:ctrlPr>
                </m:sSubPr>
                <m:e>
                  <m:r>
                    <m:rPr>
                      <m:sty m:val="p"/>
                    </m:rPr>
                    <w:rPr>
                      <w:rFonts w:ascii="Cambria Math" w:eastAsiaTheme="minorEastAsia" w:hAnsi="Cambria Math"/>
                      <w:szCs w:val="28"/>
                    </w:rPr>
                    <m:t>log</m:t>
                  </m:r>
                </m:e>
                <m:sub>
                  <m:r>
                    <w:rPr>
                      <w:rFonts w:ascii="Cambria Math" w:eastAsiaTheme="minorEastAsia" w:hAnsi="Cambria Math"/>
                      <w:szCs w:val="28"/>
                    </w:rPr>
                    <m:t>10</m:t>
                  </m:r>
                </m:sub>
              </m:sSub>
              <m:sSub>
                <m:sSubPr>
                  <m:ctrlPr>
                    <w:rPr>
                      <w:rFonts w:ascii="Cambria Math" w:eastAsiaTheme="minorEastAsia" w:hAnsi="Cambria Math"/>
                      <w:i/>
                      <w:szCs w:val="28"/>
                    </w:rPr>
                  </m:ctrlPr>
                </m:sSubPr>
                <m:e>
                  <m:d>
                    <m:dPr>
                      <m:ctrlPr>
                        <w:rPr>
                          <w:rFonts w:ascii="Cambria Math" w:eastAsiaTheme="minorEastAsia" w:hAnsi="Cambria Math"/>
                          <w:i/>
                          <w:szCs w:val="28"/>
                        </w:rPr>
                      </m:ctrlPr>
                    </m:dPr>
                    <m:e>
                      <m:f>
                        <m:fPr>
                          <m:type m:val="lin"/>
                          <m:ctrlPr>
                            <w:rPr>
                              <w:rFonts w:ascii="Cambria Math" w:eastAsiaTheme="minorEastAsia" w:hAnsi="Cambria Math"/>
                              <w:i/>
                              <w:szCs w:val="28"/>
                            </w:rPr>
                          </m:ctrlPr>
                        </m:fPr>
                        <m:num>
                          <m:r>
                            <w:rPr>
                              <w:rFonts w:ascii="Cambria Math" w:eastAsiaTheme="minorEastAsia" w:hAnsi="Cambria Math"/>
                              <w:szCs w:val="28"/>
                            </w:rPr>
                            <m:t>I</m:t>
                          </m:r>
                        </m:num>
                        <m:den>
                          <m:r>
                            <w:rPr>
                              <w:rFonts w:ascii="Cambria Math" w:eastAsiaTheme="minorEastAsia" w:hAnsi="Cambria Math"/>
                              <w:szCs w:val="28"/>
                            </w:rPr>
                            <m:t>(</m:t>
                          </m:r>
                          <m:r>
                            <w:rPr>
                              <w:rFonts w:ascii="Cambria Math" w:eastAsiaTheme="minorEastAsia" w:hAnsi="Cambria Math"/>
                              <w:szCs w:val="28"/>
                            </w:rPr>
                            <m:t>I</m:t>
                          </m:r>
                          <m:r>
                            <w:rPr>
                              <w:rFonts w:ascii="Cambria Math" w:eastAsiaTheme="minorEastAsia" w:hAnsi="Cambria Math"/>
                              <w:szCs w:val="28"/>
                            </w:rPr>
                            <m:t>-∆</m:t>
                          </m:r>
                          <m:r>
                            <w:rPr>
                              <w:rFonts w:ascii="Cambria Math" w:eastAsiaTheme="minorEastAsia" w:hAnsi="Cambria Math"/>
                              <w:szCs w:val="28"/>
                            </w:rPr>
                            <m:t>I</m:t>
                          </m:r>
                          <m:r>
                            <w:rPr>
                              <w:rFonts w:ascii="Cambria Math" w:eastAsiaTheme="minorEastAsia" w:hAnsi="Cambria Math"/>
                              <w:szCs w:val="28"/>
                            </w:rPr>
                            <m:t>)</m:t>
                          </m:r>
                        </m:den>
                      </m:f>
                    </m:e>
                  </m:d>
                </m:e>
                <m:sub>
                  <m:sSub>
                    <m:sSubPr>
                      <m:ctrlPr>
                        <w:rPr>
                          <w:rFonts w:ascii="Cambria Math" w:eastAsiaTheme="minorEastAsia" w:hAnsi="Cambria Math"/>
                          <w:i/>
                          <w:szCs w:val="28"/>
                        </w:rPr>
                      </m:ctrlPr>
                    </m:sSubPr>
                    <m:e>
                      <m:r>
                        <w:rPr>
                          <w:rFonts w:ascii="Cambria Math" w:eastAsiaTheme="minorEastAsia" w:hAnsi="Cambria Math"/>
                          <w:szCs w:val="28"/>
                        </w:rPr>
                        <m:t>λ</m:t>
                      </m:r>
                    </m:e>
                    <m:sub>
                      <m:r>
                        <w:rPr>
                          <w:rFonts w:ascii="Cambria Math" w:eastAsiaTheme="minorEastAsia" w:hAnsi="Cambria Math"/>
                          <w:szCs w:val="28"/>
                        </w:rPr>
                        <m:t>2</m:t>
                      </m:r>
                    </m:sub>
                  </m:sSub>
                </m:sub>
              </m:sSub>
              <m:r>
                <w:rPr>
                  <w:rFonts w:ascii="Cambria Math" w:eastAsiaTheme="minorEastAsia" w:hAnsi="Cambria Math"/>
                  <w:szCs w:val="28"/>
                </w:rPr>
                <m:t>+</m:t>
              </m:r>
              <m:r>
                <w:rPr>
                  <w:rFonts w:ascii="Cambria Math" w:eastAsiaTheme="minorEastAsia" w:hAnsi="Cambria Math"/>
                  <w:szCs w:val="28"/>
                </w:rPr>
                <m:t>β</m:t>
              </m:r>
              <m:r>
                <w:rPr>
                  <w:rFonts w:ascii="Cambria Math" w:eastAsiaTheme="minorEastAsia" w:hAnsi="Cambria Math"/>
                  <w:szCs w:val="28"/>
                </w:rPr>
                <m:t>,#</m:t>
              </m:r>
              <m:d>
                <m:dPr>
                  <m:ctrlPr>
                    <w:rPr>
                      <w:rFonts w:ascii="Cambria Math" w:eastAsiaTheme="minorEastAsia" w:hAnsi="Cambria Math"/>
                      <w:szCs w:val="28"/>
                    </w:rPr>
                  </m:ctrlPr>
                </m:dPr>
                <m:e>
                  <m:r>
                    <m:rPr>
                      <m:sty m:val="p"/>
                    </m:rPr>
                    <w:rPr>
                      <w:rFonts w:ascii="Cambria Math" w:eastAsiaTheme="minorEastAsia" w:hAnsi="Cambria Math"/>
                      <w:szCs w:val="28"/>
                    </w:rPr>
                    <m:t>1</m:t>
                  </m:r>
                </m:e>
              </m:d>
              <m:ctrlPr>
                <w:rPr>
                  <w:rFonts w:ascii="Cambria Math" w:eastAsiaTheme="minorEastAsia" w:hAnsi="Cambria Math"/>
                  <w:i/>
                  <w:szCs w:val="28"/>
                </w:rPr>
              </m:ctrlPr>
            </m:e>
          </m:eqArr>
        </m:oMath>
      </m:oMathPara>
    </w:p>
    <w:p w14:paraId="4BEC343B" w14:textId="1BE703B7" w:rsidR="00F8025C" w:rsidRPr="00672F10" w:rsidRDefault="00D93F39" w:rsidP="003420E3">
      <w:pPr>
        <w:pStyle w:val="a3"/>
        <w:ind w:firstLine="0"/>
      </w:pPr>
      <w:r w:rsidRPr="00672F10">
        <w:t>где I – интенсивность сигнала с ближнего фотодиода, ΔI – разность сигналов между ближним и дальним фотодиодами для соответствующих длин волн λ</w:t>
      </w:r>
      <w:r w:rsidR="00773C3C" w:rsidRPr="00672F10">
        <w:rPr>
          <w:vertAlign w:val="subscript"/>
        </w:rPr>
        <w:t>1</w:t>
      </w:r>
      <w:r w:rsidRPr="00672F10">
        <w:t xml:space="preserve"> и λ</w:t>
      </w:r>
      <w:r w:rsidRPr="00672F10">
        <w:rPr>
          <w:vertAlign w:val="subscript"/>
        </w:rPr>
        <w:t>2</w:t>
      </w:r>
      <w:r w:rsidRPr="00672F10">
        <w:t>, α и β – калибровочные коэффициенты [</w:t>
      </w:r>
      <w:r w:rsidR="00F93AF6" w:rsidRPr="00672F10">
        <w:t>6</w:t>
      </w:r>
      <w:r w:rsidRPr="00672F10">
        <w:t>].</w:t>
      </w:r>
    </w:p>
    <w:p w14:paraId="33BB866D" w14:textId="0355E593" w:rsidR="00D93F39" w:rsidRPr="00672F10" w:rsidRDefault="00D93F39" w:rsidP="00D93F39">
      <w:pPr>
        <w:pStyle w:val="a3"/>
      </w:pPr>
      <w:r w:rsidRPr="00672F10">
        <w:t>Относительный объем крови (RBV) рассчитывался по формуле:</w:t>
      </w:r>
    </w:p>
    <w:p w14:paraId="410FAECB" w14:textId="68DF5BEC" w:rsidR="003420E3" w:rsidRPr="00672F10" w:rsidRDefault="00A46599" w:rsidP="003420E3">
      <w:pPr>
        <w:pStyle w:val="a3"/>
        <w:jc w:val="center"/>
      </w:pPr>
      <m:oMathPara>
        <m:oMath>
          <m:eqArr>
            <m:eqArrPr>
              <m:maxDist m:val="1"/>
              <m:ctrlPr>
                <w:rPr>
                  <w:rFonts w:ascii="Cambria Math" w:eastAsiaTheme="minorEastAsia" w:hAnsi="Cambria Math"/>
                  <w:i/>
                  <w:spacing w:val="4"/>
                  <w:lang w:val="en-US"/>
                </w:rPr>
              </m:ctrlPr>
            </m:eqArrPr>
            <m:e>
              <m:r>
                <w:rPr>
                  <w:rFonts w:ascii="Cambria Math" w:hAnsi="Cambria Math"/>
                  <w:spacing w:val="4"/>
                </w:rPr>
                <m:t>RBV</m:t>
              </m:r>
              <m:d>
                <m:dPr>
                  <m:ctrlPr>
                    <w:rPr>
                      <w:rFonts w:ascii="Cambria Math" w:hAnsi="Cambria Math"/>
                      <w:i/>
                      <w:spacing w:val="4"/>
                    </w:rPr>
                  </m:ctrlPr>
                </m:dPr>
                <m:e>
                  <m:r>
                    <w:rPr>
                      <w:rFonts w:ascii="Cambria Math" w:hAnsi="Cambria Math"/>
                      <w:spacing w:val="4"/>
                    </w:rPr>
                    <m:t>t</m:t>
                  </m:r>
                </m:e>
              </m:d>
              <m:r>
                <w:rPr>
                  <w:rFonts w:ascii="Cambria Math" w:hAnsi="Cambria Math"/>
                  <w:spacing w:val="4"/>
                </w:rPr>
                <m:t>=</m:t>
              </m:r>
              <m:d>
                <m:dPr>
                  <m:ctrlPr>
                    <w:rPr>
                      <w:rFonts w:ascii="Cambria Math" w:hAnsi="Cambria Math"/>
                      <w:i/>
                      <w:spacing w:val="4"/>
                    </w:rPr>
                  </m:ctrlPr>
                </m:dPr>
                <m:e>
                  <m:f>
                    <m:fPr>
                      <m:type m:val="lin"/>
                      <m:ctrlPr>
                        <w:rPr>
                          <w:rFonts w:ascii="Cambria Math" w:hAnsi="Cambria Math"/>
                          <w:i/>
                          <w:spacing w:val="4"/>
                        </w:rPr>
                      </m:ctrlPr>
                    </m:fPr>
                    <m:num>
                      <m:sSub>
                        <m:sSubPr>
                          <m:ctrlPr>
                            <w:rPr>
                              <w:rFonts w:ascii="Cambria Math" w:hAnsi="Cambria Math"/>
                              <w:i/>
                              <w:spacing w:val="4"/>
                            </w:rPr>
                          </m:ctrlPr>
                        </m:sSubPr>
                        <m:e>
                          <m:r>
                            <w:rPr>
                              <w:rFonts w:ascii="Cambria Math" w:hAnsi="Cambria Math"/>
                              <w:spacing w:val="4"/>
                            </w:rPr>
                            <m:t>HCT</m:t>
                          </m:r>
                        </m:e>
                        <m:sub>
                          <m:r>
                            <w:rPr>
                              <w:rFonts w:ascii="Cambria Math" w:hAnsi="Cambria Math"/>
                              <w:spacing w:val="4"/>
                            </w:rPr>
                            <m:t>0</m:t>
                          </m:r>
                        </m:sub>
                      </m:sSub>
                    </m:num>
                    <m:den>
                      <m:r>
                        <w:rPr>
                          <w:rFonts w:ascii="Cambria Math" w:hAnsi="Cambria Math"/>
                          <w:spacing w:val="4"/>
                        </w:rPr>
                        <m:t>HCT</m:t>
                      </m:r>
                      <m:d>
                        <m:dPr>
                          <m:ctrlPr>
                            <w:rPr>
                              <w:rFonts w:ascii="Cambria Math" w:hAnsi="Cambria Math"/>
                              <w:i/>
                              <w:spacing w:val="4"/>
                            </w:rPr>
                          </m:ctrlPr>
                        </m:dPr>
                        <m:e>
                          <m:r>
                            <w:rPr>
                              <w:rFonts w:ascii="Cambria Math" w:hAnsi="Cambria Math"/>
                              <w:spacing w:val="4"/>
                            </w:rPr>
                            <m:t>t</m:t>
                          </m:r>
                        </m:e>
                      </m:d>
                    </m:den>
                  </m:f>
                  <m:r>
                    <w:rPr>
                      <w:rFonts w:ascii="Cambria Math" w:hAnsi="Cambria Math"/>
                      <w:spacing w:val="4"/>
                    </w:rPr>
                    <m:t>-</m:t>
                  </m:r>
                  <m:r>
                    <w:rPr>
                      <w:rFonts w:ascii="Cambria Math" w:hAnsi="Cambria Math"/>
                      <w:spacing w:val="4"/>
                    </w:rPr>
                    <m:t>1</m:t>
                  </m:r>
                </m:e>
              </m:d>
              <m:r>
                <w:rPr>
                  <w:rFonts w:ascii="Cambria Math" w:hAnsi="Cambria Math"/>
                  <w:spacing w:val="4"/>
                </w:rPr>
                <m:t>∙</m:t>
              </m:r>
              <m:r>
                <w:rPr>
                  <w:rFonts w:ascii="Cambria Math" w:hAnsi="Cambria Math"/>
                  <w:spacing w:val="4"/>
                </w:rPr>
                <m:t>100%</m:t>
              </m:r>
              <m:r>
                <w:rPr>
                  <w:rFonts w:ascii="Cambria Math" w:eastAsiaTheme="minorEastAsia" w:hAnsi="Cambria Math"/>
                  <w:spacing w:val="4"/>
                </w:rPr>
                <m:t>,</m:t>
              </m:r>
              <m:r>
                <w:rPr>
                  <w:rFonts w:ascii="Cambria Math" w:hAnsi="Cambria Math"/>
                  <w:spacing w:val="4"/>
                </w:rPr>
                <m:t>#</m:t>
              </m:r>
              <m:d>
                <m:dPr>
                  <m:ctrlPr>
                    <w:rPr>
                      <w:rFonts w:ascii="Cambria Math" w:eastAsiaTheme="minorEastAsia" w:hAnsi="Cambria Math"/>
                      <w:i/>
                      <w:spacing w:val="4"/>
                      <w:lang w:val="en-US"/>
                    </w:rPr>
                  </m:ctrlPr>
                </m:dPr>
                <m:e>
                  <m:r>
                    <w:rPr>
                      <w:rFonts w:ascii="Cambria Math" w:eastAsiaTheme="minorEastAsia" w:hAnsi="Cambria Math"/>
                      <w:spacing w:val="4"/>
                    </w:rPr>
                    <m:t>2</m:t>
                  </m:r>
                </m:e>
              </m:d>
              <m:ctrlPr>
                <w:rPr>
                  <w:rFonts w:ascii="Cambria Math" w:hAnsi="Cambria Math"/>
                  <w:i/>
                  <w:spacing w:val="4"/>
                </w:rPr>
              </m:ctrlPr>
            </m:e>
          </m:eqArr>
        </m:oMath>
      </m:oMathPara>
    </w:p>
    <w:p w14:paraId="654697BE" w14:textId="6A43AB4E" w:rsidR="00D93F39" w:rsidRPr="00672F10" w:rsidRDefault="003420E3" w:rsidP="003420E3">
      <w:pPr>
        <w:pStyle w:val="a3"/>
        <w:ind w:firstLine="0"/>
      </w:pPr>
      <w:r w:rsidRPr="00672F10">
        <w:t>где HCT</w:t>
      </w:r>
      <w:r w:rsidRPr="00672F10">
        <w:rPr>
          <w:vertAlign w:val="subscript"/>
        </w:rPr>
        <w:t>0</w:t>
      </w:r>
      <w:r w:rsidRPr="00672F10">
        <w:t xml:space="preserve"> – начальный уровень гематокрита, HCT(t) – текущий уровень гематокрита в момент времени t </w:t>
      </w:r>
      <w:r w:rsidR="00D93F39" w:rsidRPr="00672F10">
        <w:t>начальный уровень гематокрита, HCT(t) – текущий уровень гематокрита в момент времени t.</w:t>
      </w:r>
    </w:p>
    <w:p w14:paraId="7A77FCF9" w14:textId="6F404FDF" w:rsidR="00295981" w:rsidRPr="00672F10" w:rsidRDefault="00295981" w:rsidP="00A62280">
      <w:pPr>
        <w:pStyle w:val="a3"/>
      </w:pPr>
      <w:r w:rsidRPr="00672F10">
        <w:t xml:space="preserve">Таким образом, </w:t>
      </w:r>
      <w:r w:rsidR="00242673" w:rsidRPr="00672F10">
        <w:t>математическая модель</w:t>
      </w:r>
      <w:r w:rsidRPr="00672F10">
        <w:t xml:space="preserve"> обосновывает выбор двухволнового метода с двойным детектированием как способа получения стабильного и точного результата, инвариантного к изменениям условий эксплуатации [5].</w:t>
      </w:r>
    </w:p>
    <w:p w14:paraId="7EE27E9A" w14:textId="5270C107" w:rsidR="003420E3" w:rsidRPr="00672F10" w:rsidRDefault="00D93F39" w:rsidP="003420E3">
      <w:pPr>
        <w:pStyle w:val="2"/>
      </w:pPr>
      <w:r w:rsidRPr="00672F10">
        <w:t>Аппаратная часть</w:t>
      </w:r>
    </w:p>
    <w:p w14:paraId="3BE2E4B7" w14:textId="71F2B6C5" w:rsidR="00D93F39" w:rsidRPr="00672F10" w:rsidRDefault="003420E3" w:rsidP="00D93F39">
      <w:pPr>
        <w:pStyle w:val="a3"/>
      </w:pPr>
      <w:r w:rsidRPr="00672F10">
        <w:rPr>
          <w:rFonts w:eastAsiaTheme="minorEastAsia"/>
          <w:spacing w:val="4"/>
        </w:rPr>
        <w:t>В качестве источников излучения выбраны ИК-светодиоды на двух длинах волн: λ</w:t>
      </w:r>
      <w:r w:rsidRPr="00672F10">
        <w:rPr>
          <w:rFonts w:eastAsiaTheme="minorEastAsia"/>
          <w:spacing w:val="4"/>
          <w:vertAlign w:val="subscript"/>
        </w:rPr>
        <w:t>1</w:t>
      </w:r>
      <w:r w:rsidRPr="00672F10">
        <w:rPr>
          <w:rFonts w:eastAsiaTheme="minorEastAsia"/>
          <w:spacing w:val="4"/>
        </w:rPr>
        <w:t>=810 нм и λ</w:t>
      </w:r>
      <w:r w:rsidRPr="00672F10">
        <w:rPr>
          <w:rFonts w:eastAsiaTheme="minorEastAsia"/>
          <w:spacing w:val="4"/>
          <w:vertAlign w:val="subscript"/>
        </w:rPr>
        <w:t>2</w:t>
      </w:r>
      <w:r w:rsidRPr="00672F10">
        <w:rPr>
          <w:rFonts w:eastAsiaTheme="minorEastAsia"/>
          <w:spacing w:val="4"/>
        </w:rPr>
        <w:t>=1300</w:t>
      </w:r>
      <w:r w:rsidR="00A62280">
        <w:rPr>
          <w:rFonts w:eastAsiaTheme="minorEastAsia"/>
          <w:spacing w:val="4"/>
        </w:rPr>
        <w:t> </w:t>
      </w:r>
      <w:r w:rsidRPr="00672F10">
        <w:rPr>
          <w:rFonts w:eastAsiaTheme="minorEastAsia"/>
          <w:spacing w:val="4"/>
        </w:rPr>
        <w:t>нм, работающие в импульсном режиме: импульс 200</w:t>
      </w:r>
      <w:r w:rsidR="00A62280">
        <w:rPr>
          <w:rFonts w:eastAsiaTheme="minorEastAsia"/>
          <w:spacing w:val="4"/>
        </w:rPr>
        <w:t> </w:t>
      </w:r>
      <w:r w:rsidRPr="00672F10">
        <w:rPr>
          <w:rFonts w:eastAsiaTheme="minorEastAsia"/>
          <w:spacing w:val="4"/>
        </w:rPr>
        <w:t>мс, период 600</w:t>
      </w:r>
      <w:r w:rsidR="00A62280">
        <w:rPr>
          <w:rFonts w:eastAsiaTheme="minorEastAsia"/>
          <w:spacing w:val="4"/>
        </w:rPr>
        <w:t> </w:t>
      </w:r>
      <w:r w:rsidRPr="00672F10">
        <w:rPr>
          <w:rFonts w:eastAsiaTheme="minorEastAsia"/>
          <w:spacing w:val="4"/>
        </w:rPr>
        <w:t xml:space="preserve">мс, стабилизированным схемой на операционном усилителе. </w:t>
      </w:r>
      <w:r w:rsidR="00E6053B" w:rsidRPr="00672F10">
        <w:rPr>
          <w:rFonts w:eastAsiaTheme="minorEastAsia"/>
          <w:spacing w:val="4"/>
        </w:rPr>
        <w:t>В качестве фотоприемников используются фотодиоды</w:t>
      </w:r>
      <w:r w:rsidRPr="00672F10">
        <w:rPr>
          <w:rFonts w:eastAsiaTheme="minorEastAsia"/>
          <w:spacing w:val="4"/>
        </w:rPr>
        <w:t xml:space="preserve">, размещенные на разных расстояниях от источника для реализации метода двойного детектирования. Сигналы с фотодиодов усиливались </w:t>
      </w:r>
      <w:proofErr w:type="spellStart"/>
      <w:r w:rsidRPr="00672F10">
        <w:rPr>
          <w:rFonts w:eastAsiaTheme="minorEastAsia"/>
          <w:spacing w:val="4"/>
        </w:rPr>
        <w:lastRenderedPageBreak/>
        <w:t>трансимпедансными</w:t>
      </w:r>
      <w:proofErr w:type="spellEnd"/>
      <w:r w:rsidRPr="00672F10">
        <w:rPr>
          <w:rFonts w:eastAsiaTheme="minorEastAsia"/>
          <w:spacing w:val="4"/>
        </w:rPr>
        <w:t xml:space="preserve"> усилителями (ТИУ). Обработка сигналов и расчеты выполнялись на микроконтроллере с использованием встроенного АЦП. Для отображения результатов использован TFT LCD дисплей.</w:t>
      </w:r>
      <w:r w:rsidR="00D93F39" w:rsidRPr="00672F10">
        <w:t xml:space="preserve"> </w:t>
      </w:r>
    </w:p>
    <w:p w14:paraId="0E732C6D" w14:textId="4C2E93B4" w:rsidR="003420E3" w:rsidRPr="00672F10" w:rsidRDefault="003420E3" w:rsidP="003420E3">
      <w:pPr>
        <w:pStyle w:val="2"/>
        <w:numPr>
          <w:ilvl w:val="1"/>
          <w:numId w:val="2"/>
        </w:numPr>
        <w:ind w:left="289" w:hanging="289"/>
      </w:pPr>
      <w:r w:rsidRPr="00672F10">
        <w:t xml:space="preserve">Программное обеспечение </w:t>
      </w:r>
    </w:p>
    <w:p w14:paraId="12D07EDF" w14:textId="3FB32C00" w:rsidR="003420E3" w:rsidRPr="00672F10" w:rsidRDefault="003420E3" w:rsidP="003420E3">
      <w:pPr>
        <w:pStyle w:val="a3"/>
      </w:pPr>
      <w:r w:rsidRPr="00672F10">
        <w:t xml:space="preserve">Программное обеспечение для микроконтроллера реализует три основные </w:t>
      </w:r>
      <w:r w:rsidR="004070B0" w:rsidRPr="00672F10">
        <w:t>задачи</w:t>
      </w:r>
      <w:r w:rsidRPr="00672F10">
        <w:t>:</w:t>
      </w:r>
    </w:p>
    <w:p w14:paraId="01CFD3A6" w14:textId="1BF3DA3C" w:rsidR="004070B0" w:rsidRPr="00672F10" w:rsidRDefault="004070B0" w:rsidP="00A62280">
      <w:pPr>
        <w:pStyle w:val="-"/>
      </w:pPr>
      <w:r w:rsidRPr="00672F10">
        <w:t>Управление и сбор данных</w:t>
      </w:r>
      <w:r w:rsidR="00295981" w:rsidRPr="00672F10">
        <w:t>. На первом этапе микроконтроллер формирует управляющие сигналы для поочередного включения светодиодов 810 нм и 1300 нм в соответствии с заданной временной диаграммой: длительность импульса каждого светодиода составляет 200 мс, период следования – 600 мс. Синхронно с работой источников излучения выполняется опрос четырех фотодиодных каналов с использованием встроенного 12-битного АЦП. Для каждого цикла измерений регистрируются напряжения с ближнего и дальнего фотодиодов для обеих длин волн. Полученные значения проходят первичную обработку, включающую компенсацию темнового тока (вычитание ранее записанных значений, полученных при отключенных светодиодах) и фильтрацию высокочастотных помех</w:t>
      </w:r>
      <w:r w:rsidRPr="00672F10">
        <w:t>.</w:t>
      </w:r>
    </w:p>
    <w:p w14:paraId="520A2E2D" w14:textId="19A4594C" w:rsidR="004070B0" w:rsidRPr="00672F10" w:rsidRDefault="00295981" w:rsidP="00A62280">
      <w:pPr>
        <w:pStyle w:val="-"/>
      </w:pPr>
      <w:r w:rsidRPr="00672F10">
        <w:t xml:space="preserve">Расчет </w:t>
      </w:r>
      <w:r w:rsidRPr="00A62280">
        <w:t>текущих</w:t>
      </w:r>
      <w:r w:rsidRPr="00672F10">
        <w:t xml:space="preserve"> параметров. На втором этапе по откалиброванным значениям напряжений выполняются вычисления. Затем, подставляя полученные значения в формулу (1) с использованием калибровочных коэффициентов α и β, полученных на этапе калибровки, определяется</w:t>
      </w:r>
      <w:proofErr w:type="gramStart"/>
      <w:r w:rsidRPr="00672F10">
        <w:t> </w:t>
      </w:r>
      <m:oMath>
        <m:r>
          <w:rPr>
            <w:rFonts w:ascii="Cambria Math" w:hAnsi="Cambria Math"/>
          </w:rPr>
          <m:t>HCT(t)</m:t>
        </m:r>
      </m:oMath>
      <w:r w:rsidRPr="00672F10">
        <w:t xml:space="preserve">. </w:t>
      </w:r>
      <w:proofErr w:type="gramEnd"/>
      <w:r w:rsidRPr="00672F10">
        <w:t>После этого по формуле (2) вычисляется относительное изменение объема крови </w:t>
      </w:r>
      <m:oMath>
        <m:r>
          <w:rPr>
            <w:rFonts w:ascii="Cambria Math" w:hAnsi="Cambria Math"/>
          </w:rPr>
          <m:t>RBV(t)</m:t>
        </m:r>
      </m:oMath>
      <w:r w:rsidR="00A62280">
        <w:t xml:space="preserve"> </w:t>
      </w:r>
      <w:r w:rsidRPr="00672F10">
        <w:t>путем сравнения текущего </w:t>
      </w:r>
      <m:oMath>
        <m:r>
          <w:rPr>
            <w:rFonts w:ascii="Cambria Math" w:hAnsi="Cambria Math"/>
          </w:rPr>
          <m:t>HCT(t)</m:t>
        </m:r>
      </m:oMath>
      <w:r w:rsidRPr="00672F10">
        <w:t> с начальным значением </w:t>
      </w:r>
      <m:oMath>
        <m:r>
          <w:rPr>
            <w:rFonts w:ascii="Cambria Math" w:hAnsi="Cambria Math"/>
          </w:rPr>
          <m:t>HC</m:t>
        </m:r>
        <m:sSub>
          <m:sSubPr>
            <m:ctrlPr>
              <w:rPr>
                <w:rFonts w:ascii="Cambria Math" w:hAnsi="Cambria Math"/>
              </w:rPr>
            </m:ctrlPr>
          </m:sSubPr>
          <m:e>
            <m:r>
              <w:rPr>
                <w:rFonts w:ascii="Cambria Math" w:hAnsi="Cambria Math"/>
              </w:rPr>
              <m:t>T</m:t>
            </m:r>
          </m:e>
          <m:sub>
            <m:r>
              <w:rPr>
                <w:rFonts w:ascii="Cambria Math" w:hAnsi="Cambria Math"/>
              </w:rPr>
              <m:t>0</m:t>
            </m:r>
          </m:sub>
        </m:sSub>
      </m:oMath>
      <w:r w:rsidRPr="00672F10">
        <w:t>, введенным в память устройства перед началом процедуры мониторинга</w:t>
      </w:r>
      <w:r w:rsidR="00F93AF6" w:rsidRPr="00672F10">
        <w:t>.</w:t>
      </w:r>
    </w:p>
    <w:p w14:paraId="2FEAB4EB" w14:textId="2AC178F2" w:rsidR="003420E3" w:rsidRPr="00672F10" w:rsidRDefault="004070B0" w:rsidP="00A62280">
      <w:pPr>
        <w:pStyle w:val="-"/>
        <w:spacing w:after="120"/>
      </w:pPr>
      <w:r w:rsidRPr="00672F10">
        <w:t>Измерение и индикация</w:t>
      </w:r>
      <w:r w:rsidR="00295981" w:rsidRPr="00672F10">
        <w:t>. На заключительном этапе рассчитанные значения</w:t>
      </w:r>
      <w:r w:rsidR="00A62280">
        <w:t xml:space="preserve"> </w:t>
      </w:r>
      <m:oMath>
        <m:r>
          <w:rPr>
            <w:rFonts w:ascii="Cambria Math" w:hAnsi="Cambria Math"/>
          </w:rPr>
          <m:t>HCT(t)</m:t>
        </m:r>
      </m:oMath>
      <w:r w:rsidR="00295981" w:rsidRPr="00672F10">
        <w:t> и </w:t>
      </w:r>
      <m:oMath>
        <m:r>
          <w:rPr>
            <w:rFonts w:ascii="Cambria Math" w:hAnsi="Cambria Math"/>
          </w:rPr>
          <m:t>RBV(t)</m:t>
        </m:r>
      </m:oMath>
      <w:r w:rsidR="00295981" w:rsidRPr="00672F10">
        <w:t> выводятся на TFT LCD дисплей. При выходе значений за установленные пороговые пределы предусмотрена генерация предупреждающих сигналов. После завершения цикла индикации алгоритм возвращается к этапу сбора данных, обеспечивая непрерывность мониторинга в реальном времени с периодом обновления информации, определяемым длительностью цикла измерений</w:t>
      </w:r>
      <w:r w:rsidR="003420E3" w:rsidRPr="00672F10">
        <w:t>.</w:t>
      </w:r>
    </w:p>
    <w:p w14:paraId="36B80311" w14:textId="52F55382" w:rsidR="00295981" w:rsidRPr="00672F10" w:rsidRDefault="00295981" w:rsidP="00295981">
      <w:pPr>
        <w:pStyle w:val="a3"/>
      </w:pPr>
      <w:r w:rsidRPr="00672F10">
        <w:t>Помимо основного алгоритма мониторинга, в состав программного обеспечения входит алгоритм калибровки, который выполняется однократно перед началом эксплуатации или при замене типа диализных магистралей. Данный алгоритм реализует метод нелинейной регрессии для определения коэффициентов α и β на основе измерений эталонных образцов с известным уровнем гематокрита (25%, 50%, 75%). Полученные коэффициенты сохраняются в энергонезависимой памяти микроконтроллера и используются в алгоритме мониторинга для текущих расчетов.</w:t>
      </w:r>
    </w:p>
    <w:p w14:paraId="100C178C" w14:textId="38C71B50" w:rsidR="003420E3" w:rsidRPr="00672F10" w:rsidRDefault="003420E3" w:rsidP="003420E3">
      <w:pPr>
        <w:pStyle w:val="2"/>
        <w:numPr>
          <w:ilvl w:val="1"/>
          <w:numId w:val="2"/>
        </w:numPr>
        <w:tabs>
          <w:tab w:val="clear" w:pos="360"/>
          <w:tab w:val="num" w:pos="288"/>
          <w:tab w:val="num" w:pos="1070"/>
        </w:tabs>
      </w:pPr>
      <w:r w:rsidRPr="00672F10">
        <w:lastRenderedPageBreak/>
        <w:t>Экспериментальная апробация</w:t>
      </w:r>
    </w:p>
    <w:p w14:paraId="3611A783" w14:textId="00978816" w:rsidR="00773C3C" w:rsidRPr="00672F10" w:rsidRDefault="00773C3C" w:rsidP="00ED4976">
      <w:pPr>
        <w:pStyle w:val="a3"/>
        <w:spacing w:line="233" w:lineRule="auto"/>
      </w:pPr>
      <w:r w:rsidRPr="00672F10">
        <w:t xml:space="preserve">Эксперименты проводились на модельных образцах </w:t>
      </w:r>
      <w:proofErr w:type="spellStart"/>
      <w:r w:rsidRPr="00672F10">
        <w:t>дефибринированной</w:t>
      </w:r>
      <w:proofErr w:type="spellEnd"/>
      <w:r w:rsidRPr="00672F10">
        <w:t xml:space="preserve"> бычьей крови, что исключало процессы свертывания и обеспечивало стабильность свойств. Измерения выполнялись в кварцевых спектрометрических кюветах объемом 4 мл. Для приготовления образцов с заданной концентрацией использовался дозатор и дистиллированная вода.</w:t>
      </w:r>
    </w:p>
    <w:p w14:paraId="5C3C482D" w14:textId="45061B30" w:rsidR="00773C3C" w:rsidRPr="00672F10" w:rsidRDefault="00773C3C" w:rsidP="00ED4976">
      <w:pPr>
        <w:pStyle w:val="a3"/>
        <w:spacing w:line="233" w:lineRule="auto"/>
      </w:pPr>
      <w:r w:rsidRPr="00672F10">
        <w:t>Перед началом основной серии экспериментов для каждого из четырех фотодиодов была проведена компенсация темнового тока: светодиоды отключались, и регистрировались остаточные напряжения на выходе ТИУ. Полученные значения (порядка 2</w:t>
      </w:r>
      <w:r w:rsidR="00A62280">
        <w:t>–</w:t>
      </w:r>
      <w:r w:rsidRPr="00672F10">
        <w:t>20 мВ) вычитались из всех последующих измерений для повышения точности.</w:t>
      </w:r>
    </w:p>
    <w:p w14:paraId="4480E824" w14:textId="5FE9A042" w:rsidR="003420E3" w:rsidRPr="00672F10" w:rsidRDefault="00773C3C" w:rsidP="00ED4976">
      <w:pPr>
        <w:pStyle w:val="a3"/>
        <w:spacing w:line="233" w:lineRule="auto"/>
      </w:pPr>
      <w:r w:rsidRPr="00672F10">
        <w:t>Для калибровки системы были приготовлены три образца с концентрацией крови 25%, 50% и 75%, условно принятых за соответствующие уровни гематокрита. Для каждого образца были зарегистрированы значения напряжения (в мВ) с ближнего и дальнего фотодиодов для обеих длин волн (810 нм и 1300 нм). Полученный массив данных использовался для расчета калибровочных коэффициентов α и β модели.</w:t>
      </w:r>
    </w:p>
    <w:p w14:paraId="2D8313C6" w14:textId="4C920347" w:rsidR="003915FB" w:rsidRPr="00672F10" w:rsidRDefault="003420E3" w:rsidP="003915FB">
      <w:pPr>
        <w:pStyle w:val="1"/>
        <w:tabs>
          <w:tab w:val="clear" w:pos="425"/>
          <w:tab w:val="left" w:pos="216"/>
          <w:tab w:val="num" w:pos="786"/>
        </w:tabs>
        <w:ind w:firstLine="0"/>
      </w:pPr>
      <w:r w:rsidRPr="00672F10">
        <w:t>Результаты</w:t>
      </w:r>
    </w:p>
    <w:p w14:paraId="337A26C4" w14:textId="3D072BDF" w:rsidR="003420E3" w:rsidRPr="00672F10" w:rsidRDefault="003420E3" w:rsidP="003420E3">
      <w:pPr>
        <w:pStyle w:val="a3"/>
      </w:pPr>
      <w:r w:rsidRPr="00672F10">
        <w:t>В ходе калибровки на образцах с известной концентрацией были определены коэффициенты модели:</w:t>
      </w:r>
      <w:r w:rsidR="00DE761F" w:rsidRPr="00672F10">
        <w:t xml:space="preserve"> </w:t>
      </w:r>
      <w:r w:rsidRPr="00672F10">
        <w:t xml:space="preserve">α = 50,35, β = 21,85. </w:t>
      </w:r>
      <w:r w:rsidR="006C7749" w:rsidRPr="00672F10">
        <w:t xml:space="preserve">Для проверки точности были использованы два контрольных образца с концентрациями крови 42.5% и 60.0%, не участвовавшими в калибровке. Значения напряжений для этих образцов были измерены, и по формуле (1) с найденными коэффициентами α и β рассчитаны предсказанные значения HCT. Результаты представлены в </w:t>
      </w:r>
      <w:r w:rsidR="00A62280">
        <w:t>т</w:t>
      </w:r>
      <w:r w:rsidR="006C7749" w:rsidRPr="00672F10">
        <w:t>абл</w:t>
      </w:r>
      <w:r w:rsidR="00A62280">
        <w:t>.</w:t>
      </w:r>
      <w:r w:rsidR="006C7749" w:rsidRPr="00672F10">
        <w:t xml:space="preserve"> 2.</w:t>
      </w:r>
    </w:p>
    <w:p w14:paraId="702DF62E" w14:textId="185142AA" w:rsidR="003420E3" w:rsidRPr="00672F10" w:rsidRDefault="003420E3" w:rsidP="00A62280">
      <w:pPr>
        <w:pStyle w:val="a1"/>
      </w:pPr>
      <w:r w:rsidRPr="00A62280">
        <w:t>Результаты</w:t>
      </w:r>
      <w:r w:rsidRPr="00672F10">
        <w:t xml:space="preserve"> измерения уровня гематокрита на</w:t>
      </w:r>
      <w:r w:rsidR="00DE761F" w:rsidRPr="00672F10">
        <w:t xml:space="preserve"> </w:t>
      </w:r>
      <w:r w:rsidRPr="00672F10">
        <w:t>контрольных образцах</w:t>
      </w:r>
    </w:p>
    <w:tbl>
      <w:tblPr>
        <w:tblStyle w:val="af0"/>
        <w:tblW w:w="4876" w:type="dxa"/>
        <w:jc w:val="center"/>
        <w:tblLook w:val="04A0" w:firstRow="1" w:lastRow="0" w:firstColumn="1" w:lastColumn="0" w:noHBand="0" w:noVBand="1"/>
      </w:tblPr>
      <w:tblGrid>
        <w:gridCol w:w="1649"/>
        <w:gridCol w:w="1613"/>
        <w:gridCol w:w="1614"/>
      </w:tblGrid>
      <w:tr w:rsidR="00DE761F" w:rsidRPr="00672F10" w14:paraId="44869B8C" w14:textId="77777777" w:rsidTr="004070B0">
        <w:trPr>
          <w:jc w:val="center"/>
        </w:trPr>
        <w:tc>
          <w:tcPr>
            <w:tcW w:w="1649" w:type="dxa"/>
          </w:tcPr>
          <w:p w14:paraId="2E4A3FC5" w14:textId="5F20F8B9" w:rsidR="00DE761F" w:rsidRPr="00672F10" w:rsidRDefault="00DE761F" w:rsidP="004070B0">
            <w:pPr>
              <w:pStyle w:val="af1"/>
              <w:jc w:val="center"/>
              <w:rPr>
                <w:b/>
              </w:rPr>
            </w:pPr>
            <w:r w:rsidRPr="00672F10">
              <w:t>Истинное значение HCT, %</w:t>
            </w:r>
          </w:p>
        </w:tc>
        <w:tc>
          <w:tcPr>
            <w:tcW w:w="1613" w:type="dxa"/>
          </w:tcPr>
          <w:p w14:paraId="717D222F" w14:textId="102B2AEE" w:rsidR="00DE761F" w:rsidRPr="00672F10" w:rsidRDefault="00DE761F" w:rsidP="004070B0">
            <w:pPr>
              <w:pStyle w:val="af1"/>
              <w:jc w:val="center"/>
            </w:pPr>
            <w:r w:rsidRPr="00672F10">
              <w:t>Измеренное значение HCT, %</w:t>
            </w:r>
          </w:p>
        </w:tc>
        <w:tc>
          <w:tcPr>
            <w:tcW w:w="1614" w:type="dxa"/>
            <w:vAlign w:val="center"/>
          </w:tcPr>
          <w:p w14:paraId="68955910" w14:textId="2D1EF802" w:rsidR="00DE761F" w:rsidRPr="00672F10" w:rsidRDefault="00242673" w:rsidP="004070B0">
            <w:pPr>
              <w:pStyle w:val="af1"/>
              <w:jc w:val="center"/>
            </w:pPr>
            <w:r w:rsidRPr="00672F10">
              <w:t>Относительная п</w:t>
            </w:r>
            <w:r w:rsidR="00DE761F" w:rsidRPr="00672F10">
              <w:t>огрешность, %</w:t>
            </w:r>
          </w:p>
        </w:tc>
      </w:tr>
      <w:tr w:rsidR="00DE761F" w:rsidRPr="00672F10" w14:paraId="2A3321DC" w14:textId="77777777" w:rsidTr="00DE761F">
        <w:trPr>
          <w:jc w:val="center"/>
        </w:trPr>
        <w:tc>
          <w:tcPr>
            <w:tcW w:w="1649" w:type="dxa"/>
          </w:tcPr>
          <w:p w14:paraId="7B0A1070" w14:textId="4FB5B604" w:rsidR="00DE761F" w:rsidRPr="00672F10" w:rsidRDefault="00DE761F" w:rsidP="004070B0">
            <w:pPr>
              <w:pStyle w:val="af1"/>
              <w:jc w:val="center"/>
            </w:pPr>
            <w:r w:rsidRPr="00672F10">
              <w:t>42.5</w:t>
            </w:r>
          </w:p>
        </w:tc>
        <w:tc>
          <w:tcPr>
            <w:tcW w:w="1613" w:type="dxa"/>
          </w:tcPr>
          <w:p w14:paraId="4C259CEF" w14:textId="377BE0F0" w:rsidR="00DE761F" w:rsidRPr="00672F10" w:rsidRDefault="00A274C2" w:rsidP="004070B0">
            <w:pPr>
              <w:pStyle w:val="af1"/>
              <w:jc w:val="center"/>
            </w:pPr>
            <w:r w:rsidRPr="00672F10">
              <w:t>45,0</w:t>
            </w:r>
          </w:p>
        </w:tc>
        <w:tc>
          <w:tcPr>
            <w:tcW w:w="1614" w:type="dxa"/>
          </w:tcPr>
          <w:p w14:paraId="5A026D97" w14:textId="30A1FE66" w:rsidR="00DE761F" w:rsidRPr="00672F10" w:rsidRDefault="00DE761F" w:rsidP="004070B0">
            <w:pPr>
              <w:pStyle w:val="af1"/>
              <w:jc w:val="center"/>
            </w:pPr>
            <w:r w:rsidRPr="00672F10">
              <w:t>5.</w:t>
            </w:r>
            <w:r w:rsidR="00A274C2" w:rsidRPr="00672F10">
              <w:t>8</w:t>
            </w:r>
          </w:p>
        </w:tc>
      </w:tr>
      <w:tr w:rsidR="00DE761F" w:rsidRPr="00672F10" w14:paraId="25A4992B" w14:textId="77777777" w:rsidTr="00DE761F">
        <w:trPr>
          <w:jc w:val="center"/>
        </w:trPr>
        <w:tc>
          <w:tcPr>
            <w:tcW w:w="1649" w:type="dxa"/>
          </w:tcPr>
          <w:p w14:paraId="55E0E079" w14:textId="69BF637D" w:rsidR="00DE761F" w:rsidRPr="00672F10" w:rsidRDefault="00DE761F" w:rsidP="004070B0">
            <w:pPr>
              <w:pStyle w:val="af1"/>
              <w:jc w:val="center"/>
            </w:pPr>
            <w:r w:rsidRPr="00672F10">
              <w:t>60.0</w:t>
            </w:r>
          </w:p>
        </w:tc>
        <w:tc>
          <w:tcPr>
            <w:tcW w:w="1613" w:type="dxa"/>
          </w:tcPr>
          <w:p w14:paraId="2F1052CE" w14:textId="26711B4D" w:rsidR="00DE761F" w:rsidRPr="00672F10" w:rsidRDefault="00DE761F" w:rsidP="004070B0">
            <w:pPr>
              <w:pStyle w:val="af1"/>
              <w:jc w:val="center"/>
            </w:pPr>
            <w:r w:rsidRPr="00672F10">
              <w:t>63.5</w:t>
            </w:r>
          </w:p>
        </w:tc>
        <w:tc>
          <w:tcPr>
            <w:tcW w:w="1614" w:type="dxa"/>
          </w:tcPr>
          <w:p w14:paraId="2045824D" w14:textId="51A94C1F" w:rsidR="00DE761F" w:rsidRPr="00672F10" w:rsidRDefault="00DE761F" w:rsidP="004070B0">
            <w:pPr>
              <w:pStyle w:val="af1"/>
              <w:jc w:val="center"/>
            </w:pPr>
            <w:r w:rsidRPr="00672F10">
              <w:t>5.9</w:t>
            </w:r>
          </w:p>
        </w:tc>
      </w:tr>
    </w:tbl>
    <w:p w14:paraId="3A0ABC0A" w14:textId="2CAAA8D4" w:rsidR="006C7749" w:rsidRPr="00672F10" w:rsidRDefault="006C7749" w:rsidP="00ED4976">
      <w:pPr>
        <w:pStyle w:val="a3"/>
        <w:spacing w:before="120" w:line="233" w:lineRule="auto"/>
      </w:pPr>
      <w:r w:rsidRPr="00672F10">
        <w:t>Полученная погрешность не превысила 6%. Это подтверждает адекватность калибровочной модели и принципиальную работоспособность предложенного метода.</w:t>
      </w:r>
    </w:p>
    <w:p w14:paraId="7601021C" w14:textId="23B491E6" w:rsidR="003915FB" w:rsidRPr="00672F10" w:rsidRDefault="00DE761F" w:rsidP="003915FB">
      <w:pPr>
        <w:pStyle w:val="1"/>
      </w:pPr>
      <w:r w:rsidRPr="00672F10">
        <w:t>Заключение</w:t>
      </w:r>
    </w:p>
    <w:p w14:paraId="5D423C47" w14:textId="4DE7B1BF" w:rsidR="003915FB" w:rsidRPr="00672F10" w:rsidRDefault="00773C3C" w:rsidP="00DE761F">
      <w:pPr>
        <w:pStyle w:val="a3"/>
        <w:rPr>
          <w:b/>
        </w:rPr>
      </w:pPr>
      <w:r w:rsidRPr="00672F10">
        <w:t xml:space="preserve">В рамках работы разработан и </w:t>
      </w:r>
      <w:r w:rsidR="00985418" w:rsidRPr="00672F10">
        <w:t>испытан</w:t>
      </w:r>
      <w:r w:rsidRPr="00672F10">
        <w:t xml:space="preserve"> прототип неинвазивного оптического сенсора для мониторинга гематокрита и относительного объема крови. Подробно описана и теоретически обоснована методика измерения, основанная на двухволновом методе с двойным детектированием в ИК-диапазоне (810 нм и 1300 нм) и базирующаяся на модифицированной модели Тверского. Проведен анализ спектров поглощения компонентов крови, обосновывающий выбор длин волн, а также показана независимость измерений от оптических свойств материала диализных трубок. Разработаны аппаратная платформа на базе микроконтроллера ESP32 и специализированное программное обеспечение. Экспериментальная </w:t>
      </w:r>
      <w:r w:rsidR="00242673" w:rsidRPr="00672F10">
        <w:t>апробация</w:t>
      </w:r>
      <w:r w:rsidRPr="00672F10">
        <w:t xml:space="preserve"> на модельных образцах </w:t>
      </w:r>
      <w:proofErr w:type="spellStart"/>
      <w:r w:rsidRPr="00672F10">
        <w:lastRenderedPageBreak/>
        <w:t>дефибринированной</w:t>
      </w:r>
      <w:proofErr w:type="spellEnd"/>
      <w:r w:rsidRPr="00672F10">
        <w:t xml:space="preserve"> бычьей крови подтвердила возможность определения уровня гематокрита с погрешностью, не превышающей 6%. Полученные результаты подтверждают перспективность дальнейшего развития разработки в направлении создания компактного и экономичного устройства для клинического применения в аппаратах гемодиализа</w:t>
      </w:r>
      <w:r w:rsidR="00DE761F" w:rsidRPr="00672F10">
        <w:t>.</w:t>
      </w:r>
    </w:p>
    <w:p w14:paraId="7D7DAF61" w14:textId="77777777" w:rsidR="003915FB" w:rsidRPr="00672F10" w:rsidRDefault="003915FB" w:rsidP="008C64AA">
      <w:pPr>
        <w:pStyle w:val="5"/>
      </w:pPr>
      <w:r w:rsidRPr="00672F10">
        <w:t>Список литературы</w:t>
      </w:r>
    </w:p>
    <w:p w14:paraId="454A17ED" w14:textId="4981CC00" w:rsidR="00DE761F" w:rsidRPr="00A62280" w:rsidRDefault="00DE761F" w:rsidP="00A62280">
      <w:pPr>
        <w:pStyle w:val="a0"/>
        <w:ind w:left="357" w:hanging="357"/>
      </w:pPr>
      <w:r w:rsidRPr="00A62280">
        <w:t xml:space="preserve">Шишкин А.Н., Федорова Ю.Ю. </w:t>
      </w:r>
      <w:proofErr w:type="spellStart"/>
      <w:r w:rsidRPr="00A62280">
        <w:t>Интрадиализная</w:t>
      </w:r>
      <w:proofErr w:type="spellEnd"/>
      <w:r w:rsidRPr="00A62280">
        <w:t xml:space="preserve"> гипотония: факторы, ассоциированные с процедурой гемодиализа // Нефрология. 2012. Т.16. №2. С.64-68.</w:t>
      </w:r>
    </w:p>
    <w:p w14:paraId="4684A947" w14:textId="50F71A7E" w:rsidR="00DE761F" w:rsidRPr="00A62280" w:rsidRDefault="00DE761F" w:rsidP="00A62280">
      <w:pPr>
        <w:pStyle w:val="a0"/>
        <w:ind w:left="357" w:hanging="357"/>
      </w:pPr>
      <w:r w:rsidRPr="00A62280">
        <w:t>Акулов С.А., Чистякова И.Б., Федотов А.А. Методы измерения уровня гематокрита крови // Приволжский научный вестник. 2014. №11-1. С.29-32.</w:t>
      </w:r>
    </w:p>
    <w:p w14:paraId="54267E29" w14:textId="2FCEB372" w:rsidR="00DE761F" w:rsidRPr="00A62280" w:rsidRDefault="00DE761F" w:rsidP="00A62280">
      <w:pPr>
        <w:pStyle w:val="a0"/>
        <w:ind w:left="357" w:hanging="357"/>
      </w:pPr>
      <w:r w:rsidRPr="00A62280">
        <w:lastRenderedPageBreak/>
        <w:t>Юлдашев З.М. и др. Неинвазивная оценка уровня гематокрита спектрофотометрическим методом // Медицинская техника. 2014. Т.2. №284. С.12-15.</w:t>
      </w:r>
    </w:p>
    <w:p w14:paraId="692E3273" w14:textId="70AAE8BF" w:rsidR="00F93AF6" w:rsidRPr="00A62280" w:rsidRDefault="00F93AF6" w:rsidP="00A62280">
      <w:pPr>
        <w:pStyle w:val="a0"/>
        <w:ind w:left="357" w:hanging="357"/>
      </w:pPr>
      <w:r w:rsidRPr="00A62280">
        <w:t>Хлынов Р.Д. и др. Поляризационный неинвазивный метод мониторинга гематокрита крови // Оптический журнал. 2023. Т.90. №1. С.60-75.</w:t>
      </w:r>
    </w:p>
    <w:p w14:paraId="1F69B047" w14:textId="622C1F69" w:rsidR="00F93AF6" w:rsidRPr="00A62280" w:rsidRDefault="00F93AF6" w:rsidP="00A62280">
      <w:pPr>
        <w:pStyle w:val="a0"/>
        <w:ind w:left="357" w:hanging="357"/>
      </w:pPr>
      <w:proofErr w:type="spellStart"/>
      <w:r w:rsidRPr="00A62280">
        <w:t>Oshima</w:t>
      </w:r>
      <w:proofErr w:type="spellEnd"/>
      <w:r w:rsidRPr="00A62280">
        <w:t xml:space="preserve"> S., </w:t>
      </w:r>
      <w:proofErr w:type="spellStart"/>
      <w:r w:rsidRPr="00A62280">
        <w:t>Sankai</w:t>
      </w:r>
      <w:proofErr w:type="spellEnd"/>
      <w:r w:rsidRPr="00A62280">
        <w:t xml:space="preserve"> Y. </w:t>
      </w:r>
      <w:proofErr w:type="spellStart"/>
      <w:r w:rsidRPr="00A62280">
        <w:t>Optical</w:t>
      </w:r>
      <w:proofErr w:type="spellEnd"/>
      <w:r w:rsidRPr="00A62280">
        <w:t xml:space="preserve"> </w:t>
      </w:r>
      <w:proofErr w:type="spellStart"/>
      <w:r w:rsidRPr="00A62280">
        <w:t>measurement</w:t>
      </w:r>
      <w:proofErr w:type="spellEnd"/>
      <w:r w:rsidRPr="00A62280">
        <w:t xml:space="preserve"> </w:t>
      </w:r>
      <w:proofErr w:type="spellStart"/>
      <w:r w:rsidRPr="00A62280">
        <w:t>of</w:t>
      </w:r>
      <w:proofErr w:type="spellEnd"/>
      <w:r w:rsidRPr="00A62280">
        <w:t xml:space="preserve"> </w:t>
      </w:r>
      <w:proofErr w:type="spellStart"/>
      <w:r w:rsidRPr="00A62280">
        <w:t>blood</w:t>
      </w:r>
      <w:proofErr w:type="spellEnd"/>
      <w:r w:rsidRPr="00A62280">
        <w:t xml:space="preserve"> </w:t>
      </w:r>
      <w:proofErr w:type="spellStart"/>
      <w:r w:rsidRPr="00A62280">
        <w:t>hematocrit</w:t>
      </w:r>
      <w:proofErr w:type="spellEnd"/>
      <w:r w:rsidRPr="00A62280">
        <w:t xml:space="preserve"> </w:t>
      </w:r>
      <w:proofErr w:type="spellStart"/>
      <w:r w:rsidRPr="00A62280">
        <w:t>on</w:t>
      </w:r>
      <w:proofErr w:type="spellEnd"/>
      <w:r w:rsidRPr="00A62280">
        <w:t xml:space="preserve"> </w:t>
      </w:r>
      <w:proofErr w:type="spellStart"/>
      <w:r w:rsidRPr="00A62280">
        <w:t>medical</w:t>
      </w:r>
      <w:proofErr w:type="spellEnd"/>
      <w:r w:rsidRPr="00A62280">
        <w:t xml:space="preserve"> </w:t>
      </w:r>
      <w:proofErr w:type="spellStart"/>
      <w:r w:rsidRPr="00A62280">
        <w:t>tubing</w:t>
      </w:r>
      <w:proofErr w:type="spellEnd"/>
      <w:r w:rsidRPr="00A62280">
        <w:t xml:space="preserve"> </w:t>
      </w:r>
      <w:proofErr w:type="spellStart"/>
      <w:r w:rsidRPr="00A62280">
        <w:t>with</w:t>
      </w:r>
      <w:proofErr w:type="spellEnd"/>
      <w:r w:rsidRPr="00A62280">
        <w:t xml:space="preserve"> </w:t>
      </w:r>
      <w:proofErr w:type="spellStart"/>
      <w:r w:rsidRPr="00A62280">
        <w:t>dual</w:t>
      </w:r>
      <w:proofErr w:type="spellEnd"/>
      <w:r w:rsidRPr="00A62280">
        <w:t xml:space="preserve"> </w:t>
      </w:r>
      <w:proofErr w:type="spellStart"/>
      <w:r w:rsidRPr="00A62280">
        <w:t>wavelength</w:t>
      </w:r>
      <w:proofErr w:type="spellEnd"/>
      <w:r w:rsidRPr="00A62280">
        <w:t xml:space="preserve"> </w:t>
      </w:r>
      <w:proofErr w:type="spellStart"/>
      <w:r w:rsidRPr="00A62280">
        <w:t>and</w:t>
      </w:r>
      <w:proofErr w:type="spellEnd"/>
      <w:r w:rsidRPr="00A62280">
        <w:t xml:space="preserve"> </w:t>
      </w:r>
      <w:proofErr w:type="spellStart"/>
      <w:r w:rsidRPr="00A62280">
        <w:t>detector</w:t>
      </w:r>
      <w:proofErr w:type="spellEnd"/>
      <w:r w:rsidRPr="00A62280">
        <w:t xml:space="preserve"> </w:t>
      </w:r>
      <w:proofErr w:type="spellStart"/>
      <w:r w:rsidRPr="00A62280">
        <w:t>model</w:t>
      </w:r>
      <w:proofErr w:type="spellEnd"/>
      <w:r w:rsidRPr="00A62280">
        <w:t xml:space="preserve"> // 2009 </w:t>
      </w:r>
      <w:proofErr w:type="spellStart"/>
      <w:r w:rsidRPr="00A62280">
        <w:t>Annual</w:t>
      </w:r>
      <w:proofErr w:type="spellEnd"/>
      <w:r w:rsidRPr="00A62280">
        <w:t xml:space="preserve"> </w:t>
      </w:r>
      <w:proofErr w:type="spellStart"/>
      <w:r w:rsidRPr="00A62280">
        <w:t>international</w:t>
      </w:r>
      <w:proofErr w:type="spellEnd"/>
      <w:r w:rsidRPr="00A62280">
        <w:t xml:space="preserve"> </w:t>
      </w:r>
      <w:proofErr w:type="spellStart"/>
      <w:r w:rsidRPr="00A62280">
        <w:t>conference</w:t>
      </w:r>
      <w:proofErr w:type="spellEnd"/>
      <w:r w:rsidRPr="00A62280">
        <w:t xml:space="preserve"> </w:t>
      </w:r>
      <w:proofErr w:type="spellStart"/>
      <w:r w:rsidRPr="00A62280">
        <w:t>of</w:t>
      </w:r>
      <w:proofErr w:type="spellEnd"/>
      <w:r w:rsidRPr="00A62280">
        <w:t xml:space="preserve"> </w:t>
      </w:r>
      <w:proofErr w:type="spellStart"/>
      <w:r w:rsidRPr="00A62280">
        <w:t>the</w:t>
      </w:r>
      <w:proofErr w:type="spellEnd"/>
      <w:r w:rsidRPr="00A62280">
        <w:t xml:space="preserve"> IEEE </w:t>
      </w:r>
      <w:proofErr w:type="spellStart"/>
      <w:r w:rsidRPr="00A62280">
        <w:t>engineering</w:t>
      </w:r>
      <w:proofErr w:type="spellEnd"/>
      <w:r w:rsidRPr="00A62280">
        <w:t xml:space="preserve"> </w:t>
      </w:r>
      <w:proofErr w:type="spellStart"/>
      <w:r w:rsidRPr="00A62280">
        <w:t>in</w:t>
      </w:r>
      <w:proofErr w:type="spellEnd"/>
      <w:r w:rsidRPr="00A62280">
        <w:t xml:space="preserve"> </w:t>
      </w:r>
      <w:proofErr w:type="spellStart"/>
      <w:r w:rsidRPr="00A62280">
        <w:t>medicine</w:t>
      </w:r>
      <w:proofErr w:type="spellEnd"/>
      <w:r w:rsidRPr="00A62280">
        <w:t xml:space="preserve"> </w:t>
      </w:r>
      <w:proofErr w:type="spellStart"/>
      <w:r w:rsidRPr="00A62280">
        <w:t>and</w:t>
      </w:r>
      <w:proofErr w:type="spellEnd"/>
      <w:r w:rsidRPr="00A62280">
        <w:t xml:space="preserve"> </w:t>
      </w:r>
      <w:proofErr w:type="spellStart"/>
      <w:r w:rsidRPr="00A62280">
        <w:t>biology</w:t>
      </w:r>
      <w:proofErr w:type="spellEnd"/>
      <w:r w:rsidRPr="00A62280">
        <w:t xml:space="preserve"> </w:t>
      </w:r>
      <w:proofErr w:type="spellStart"/>
      <w:r w:rsidRPr="00A62280">
        <w:t>society</w:t>
      </w:r>
      <w:proofErr w:type="spellEnd"/>
      <w:r w:rsidRPr="00A62280">
        <w:t>. IEEE, 2009. С.5891-5896</w:t>
      </w:r>
    </w:p>
    <w:p w14:paraId="63C2DDE8" w14:textId="59F36EA0" w:rsidR="00DE761F" w:rsidRPr="00A62280" w:rsidRDefault="00DE761F" w:rsidP="00A62280">
      <w:pPr>
        <w:pStyle w:val="a0"/>
        <w:ind w:left="357" w:hanging="357"/>
      </w:pPr>
      <w:proofErr w:type="spellStart"/>
      <w:r w:rsidRPr="00A62280">
        <w:t>Ribed-Sánchez</w:t>
      </w:r>
      <w:proofErr w:type="spellEnd"/>
      <w:r w:rsidRPr="00A62280">
        <w:t xml:space="preserve"> B. </w:t>
      </w:r>
      <w:proofErr w:type="spellStart"/>
      <w:r w:rsidRPr="00A62280">
        <w:t>et</w:t>
      </w:r>
      <w:proofErr w:type="spellEnd"/>
      <w:r w:rsidRPr="00A62280">
        <w:t xml:space="preserve"> </w:t>
      </w:r>
      <w:proofErr w:type="spellStart"/>
      <w:r w:rsidRPr="00A62280">
        <w:t>al</w:t>
      </w:r>
      <w:proofErr w:type="spellEnd"/>
      <w:r w:rsidRPr="00A62280">
        <w:t xml:space="preserve">. </w:t>
      </w:r>
      <w:proofErr w:type="spellStart"/>
      <w:r w:rsidRPr="00A62280">
        <w:t>Economic</w:t>
      </w:r>
      <w:proofErr w:type="spellEnd"/>
      <w:r w:rsidRPr="00A62280">
        <w:t xml:space="preserve"> </w:t>
      </w:r>
      <w:proofErr w:type="spellStart"/>
      <w:r w:rsidRPr="00A62280">
        <w:t>analysis</w:t>
      </w:r>
      <w:proofErr w:type="spellEnd"/>
      <w:r w:rsidRPr="00A62280">
        <w:t xml:space="preserve"> </w:t>
      </w:r>
      <w:proofErr w:type="spellStart"/>
      <w:r w:rsidRPr="00A62280">
        <w:t>of</w:t>
      </w:r>
      <w:proofErr w:type="spellEnd"/>
      <w:r w:rsidRPr="00A62280">
        <w:t xml:space="preserve"> </w:t>
      </w:r>
      <w:proofErr w:type="spellStart"/>
      <w:r w:rsidRPr="00A62280">
        <w:t>the</w:t>
      </w:r>
      <w:proofErr w:type="spellEnd"/>
      <w:r w:rsidRPr="00A62280">
        <w:t xml:space="preserve"> </w:t>
      </w:r>
      <w:proofErr w:type="spellStart"/>
      <w:r w:rsidRPr="00A62280">
        <w:t>reduction</w:t>
      </w:r>
      <w:proofErr w:type="spellEnd"/>
      <w:r w:rsidRPr="00A62280">
        <w:t xml:space="preserve"> </w:t>
      </w:r>
      <w:proofErr w:type="spellStart"/>
      <w:r w:rsidRPr="00A62280">
        <w:t>of</w:t>
      </w:r>
      <w:proofErr w:type="spellEnd"/>
      <w:r w:rsidRPr="00A62280">
        <w:t xml:space="preserve"> </w:t>
      </w:r>
      <w:proofErr w:type="spellStart"/>
      <w:r w:rsidRPr="00A62280">
        <w:t>blood</w:t>
      </w:r>
      <w:proofErr w:type="spellEnd"/>
      <w:r w:rsidRPr="00A62280">
        <w:t xml:space="preserve"> </w:t>
      </w:r>
      <w:proofErr w:type="spellStart"/>
      <w:r w:rsidRPr="00A62280">
        <w:t>transfusions</w:t>
      </w:r>
      <w:proofErr w:type="spellEnd"/>
      <w:r w:rsidRPr="00A62280">
        <w:t xml:space="preserve"> </w:t>
      </w:r>
      <w:proofErr w:type="spellStart"/>
      <w:r w:rsidRPr="00A62280">
        <w:t>during</w:t>
      </w:r>
      <w:proofErr w:type="spellEnd"/>
      <w:r w:rsidRPr="00A62280">
        <w:t xml:space="preserve"> </w:t>
      </w:r>
      <w:proofErr w:type="spellStart"/>
      <w:r w:rsidRPr="00A62280">
        <w:t>surgical</w:t>
      </w:r>
      <w:proofErr w:type="spellEnd"/>
      <w:r w:rsidRPr="00A62280">
        <w:t xml:space="preserve"> </w:t>
      </w:r>
      <w:proofErr w:type="spellStart"/>
      <w:r w:rsidRPr="00A62280">
        <w:t>procedures</w:t>
      </w:r>
      <w:proofErr w:type="spellEnd"/>
      <w:r w:rsidRPr="00A62280">
        <w:t xml:space="preserve"> </w:t>
      </w:r>
      <w:proofErr w:type="spellStart"/>
      <w:r w:rsidRPr="00A62280">
        <w:t>while</w:t>
      </w:r>
      <w:proofErr w:type="spellEnd"/>
      <w:r w:rsidRPr="00A62280">
        <w:t xml:space="preserve"> </w:t>
      </w:r>
      <w:proofErr w:type="spellStart"/>
      <w:r w:rsidRPr="00A62280">
        <w:t>continuous</w:t>
      </w:r>
      <w:proofErr w:type="spellEnd"/>
      <w:r w:rsidRPr="00A62280">
        <w:t xml:space="preserve"> </w:t>
      </w:r>
      <w:proofErr w:type="spellStart"/>
      <w:r w:rsidRPr="00A62280">
        <w:t>hemoglobin</w:t>
      </w:r>
      <w:proofErr w:type="spellEnd"/>
      <w:r w:rsidRPr="00A62280">
        <w:t xml:space="preserve"> </w:t>
      </w:r>
      <w:proofErr w:type="spellStart"/>
      <w:r w:rsidRPr="00A62280">
        <w:t>monitoring</w:t>
      </w:r>
      <w:proofErr w:type="spellEnd"/>
      <w:r w:rsidRPr="00A62280">
        <w:t xml:space="preserve"> </w:t>
      </w:r>
      <w:proofErr w:type="spellStart"/>
      <w:r w:rsidRPr="00A62280">
        <w:t>is</w:t>
      </w:r>
      <w:proofErr w:type="spellEnd"/>
      <w:r w:rsidRPr="00A62280">
        <w:t xml:space="preserve"> </w:t>
      </w:r>
      <w:proofErr w:type="spellStart"/>
      <w:r w:rsidRPr="00A62280">
        <w:t>used</w:t>
      </w:r>
      <w:proofErr w:type="spellEnd"/>
      <w:r w:rsidRPr="00A62280">
        <w:t xml:space="preserve"> // </w:t>
      </w:r>
      <w:proofErr w:type="spellStart"/>
      <w:r w:rsidRPr="00A62280">
        <w:t>Sensors</w:t>
      </w:r>
      <w:proofErr w:type="spellEnd"/>
      <w:r w:rsidRPr="00A62280">
        <w:t>. 2018. Т.18. №5. P.1367.</w:t>
      </w:r>
    </w:p>
    <w:p w14:paraId="2653EA82" w14:textId="60A27014" w:rsidR="00F8025C" w:rsidRPr="00A62280" w:rsidRDefault="006C7749" w:rsidP="00A62280">
      <w:pPr>
        <w:pStyle w:val="a0"/>
        <w:ind w:left="357" w:hanging="357"/>
      </w:pPr>
      <w:r w:rsidRPr="00A62280">
        <w:t xml:space="preserve">Master Bond Inc. </w:t>
      </w:r>
      <w:proofErr w:type="spellStart"/>
      <w:r w:rsidRPr="00A62280">
        <w:t>Optical</w:t>
      </w:r>
      <w:proofErr w:type="spellEnd"/>
      <w:r w:rsidRPr="00A62280">
        <w:t xml:space="preserve"> </w:t>
      </w:r>
      <w:proofErr w:type="spellStart"/>
      <w:r w:rsidRPr="00A62280">
        <w:t>Transmission</w:t>
      </w:r>
      <w:proofErr w:type="spellEnd"/>
      <w:r w:rsidRPr="00A62280">
        <w:t xml:space="preserve"> </w:t>
      </w:r>
      <w:proofErr w:type="spellStart"/>
      <w:r w:rsidRPr="00A62280">
        <w:t>Properties</w:t>
      </w:r>
      <w:proofErr w:type="spellEnd"/>
      <w:r w:rsidRPr="00A62280">
        <w:t xml:space="preserve"> </w:t>
      </w:r>
      <w:proofErr w:type="spellStart"/>
      <w:r w:rsidRPr="00A62280">
        <w:t>of</w:t>
      </w:r>
      <w:proofErr w:type="spellEnd"/>
      <w:r w:rsidRPr="00A62280">
        <w:t xml:space="preserve"> </w:t>
      </w:r>
      <w:proofErr w:type="spellStart"/>
      <w:r w:rsidRPr="00A62280">
        <w:t>Adhesives</w:t>
      </w:r>
      <w:proofErr w:type="spellEnd"/>
      <w:r w:rsidRPr="00A62280">
        <w:t xml:space="preserve"> [Электронный ресурс]. – URL: https://www.masterbond.com.</w:t>
      </w:r>
    </w:p>
    <w:p w14:paraId="3B33C436" w14:textId="77777777" w:rsidR="00F8025C" w:rsidRPr="000316FA" w:rsidRDefault="00F8025C" w:rsidP="00F8025C">
      <w:pPr>
        <w:rPr>
          <w:lang w:val="en-US"/>
        </w:rPr>
      </w:pPr>
    </w:p>
    <w:p w14:paraId="02CDAF81" w14:textId="6F676DEF" w:rsidR="00F8025C" w:rsidRPr="000316FA" w:rsidRDefault="00F8025C" w:rsidP="00F8025C">
      <w:pPr>
        <w:rPr>
          <w:lang w:val="en-US"/>
        </w:rPr>
        <w:sectPr w:rsidR="00F8025C" w:rsidRPr="000316FA" w:rsidSect="004B14C2">
          <w:type w:val="continuous"/>
          <w:pgSz w:w="11906" w:h="16838" w:code="9"/>
          <w:pgMar w:top="907" w:right="907" w:bottom="1440" w:left="907" w:header="709" w:footer="709" w:gutter="0"/>
          <w:cols w:num="2" w:space="340"/>
          <w:docGrid w:linePitch="360"/>
        </w:sectPr>
      </w:pPr>
    </w:p>
    <w:p w14:paraId="0805EFC8" w14:textId="3C69A5DE" w:rsidR="00696080" w:rsidRPr="000316FA" w:rsidRDefault="00696080" w:rsidP="00DE761F">
      <w:pPr>
        <w:suppressAutoHyphens w:val="0"/>
        <w:spacing w:after="200" w:line="276" w:lineRule="auto"/>
        <w:rPr>
          <w:rFonts w:eastAsia="MS Mincho"/>
          <w:lang w:val="en-US"/>
        </w:rPr>
      </w:pPr>
    </w:p>
    <w:sectPr w:rsidR="00696080" w:rsidRPr="000316FA" w:rsidSect="008C64AA">
      <w:type w:val="continuous"/>
      <w:pgSz w:w="11906" w:h="16838" w:code="9"/>
      <w:pgMar w:top="907" w:right="907" w:bottom="1440" w:left="907" w:header="709" w:footer="709" w:gutter="0"/>
      <w:cols w:space="34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7880574" w14:textId="77777777" w:rsidR="00A46599" w:rsidRDefault="00A46599" w:rsidP="001C10F0">
      <w:r>
        <w:separator/>
      </w:r>
    </w:p>
  </w:endnote>
  <w:endnote w:type="continuationSeparator" w:id="0">
    <w:p w14:paraId="7430168C" w14:textId="77777777" w:rsidR="00A46599" w:rsidRDefault="00A46599" w:rsidP="001C10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56780685"/>
      <w:docPartObj>
        <w:docPartGallery w:val="Page Numbers (Bottom of Page)"/>
        <w:docPartUnique/>
      </w:docPartObj>
    </w:sdtPr>
    <w:sdtContent>
      <w:p w14:paraId="11982E87" w14:textId="57F6DBCE" w:rsidR="001C10F0" w:rsidRDefault="001C10F0">
        <w:pPr>
          <w:pStyle w:val="af5"/>
          <w:jc w:val="center"/>
        </w:pPr>
        <w:r>
          <w:fldChar w:fldCharType="begin"/>
        </w:r>
        <w:r>
          <w:instrText>PAGE   \* MERGEFORMAT</w:instrText>
        </w:r>
        <w:r>
          <w:fldChar w:fldCharType="separate"/>
        </w:r>
        <w:r>
          <w:rPr>
            <w:noProof/>
          </w:rPr>
          <w:t>358</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6A9432C" w14:textId="77777777" w:rsidR="00A46599" w:rsidRDefault="00A46599" w:rsidP="001C10F0">
      <w:r>
        <w:separator/>
      </w:r>
    </w:p>
  </w:footnote>
  <w:footnote w:type="continuationSeparator" w:id="0">
    <w:p w14:paraId="6558D60D" w14:textId="77777777" w:rsidR="00A46599" w:rsidRDefault="00A46599" w:rsidP="001C10F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6D0855CC"/>
    <w:lvl w:ilvl="0">
      <w:start w:val="1"/>
      <w:numFmt w:val="decimal"/>
      <w:lvlText w:val="%1."/>
      <w:lvlJc w:val="left"/>
      <w:pPr>
        <w:tabs>
          <w:tab w:val="num" w:pos="1492"/>
        </w:tabs>
        <w:ind w:left="1492" w:hanging="360"/>
      </w:pPr>
    </w:lvl>
  </w:abstractNum>
  <w:abstractNum w:abstractNumId="1">
    <w:nsid w:val="FFFFFF7D"/>
    <w:multiLevelType w:val="singleLevel"/>
    <w:tmpl w:val="4C1AF934"/>
    <w:lvl w:ilvl="0">
      <w:start w:val="1"/>
      <w:numFmt w:val="decimal"/>
      <w:lvlText w:val="%1."/>
      <w:lvlJc w:val="left"/>
      <w:pPr>
        <w:tabs>
          <w:tab w:val="num" w:pos="1209"/>
        </w:tabs>
        <w:ind w:left="1209" w:hanging="360"/>
      </w:pPr>
    </w:lvl>
  </w:abstractNum>
  <w:abstractNum w:abstractNumId="2">
    <w:nsid w:val="FFFFFF7E"/>
    <w:multiLevelType w:val="singleLevel"/>
    <w:tmpl w:val="A322C3B0"/>
    <w:lvl w:ilvl="0">
      <w:start w:val="1"/>
      <w:numFmt w:val="decimal"/>
      <w:lvlText w:val="%1."/>
      <w:lvlJc w:val="left"/>
      <w:pPr>
        <w:tabs>
          <w:tab w:val="num" w:pos="926"/>
        </w:tabs>
        <w:ind w:left="926" w:hanging="360"/>
      </w:pPr>
    </w:lvl>
  </w:abstractNum>
  <w:abstractNum w:abstractNumId="3">
    <w:nsid w:val="FFFFFF7F"/>
    <w:multiLevelType w:val="singleLevel"/>
    <w:tmpl w:val="E9BEE5A0"/>
    <w:lvl w:ilvl="0">
      <w:start w:val="1"/>
      <w:numFmt w:val="decimal"/>
      <w:lvlText w:val="%1."/>
      <w:lvlJc w:val="left"/>
      <w:pPr>
        <w:tabs>
          <w:tab w:val="num" w:pos="643"/>
        </w:tabs>
        <w:ind w:left="643" w:hanging="360"/>
      </w:pPr>
    </w:lvl>
  </w:abstractNum>
  <w:abstractNum w:abstractNumId="4">
    <w:nsid w:val="FFFFFF80"/>
    <w:multiLevelType w:val="singleLevel"/>
    <w:tmpl w:val="DF04246E"/>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5744379E"/>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8B60547C"/>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A426D4AE"/>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A502DADA"/>
    <w:lvl w:ilvl="0">
      <w:start w:val="1"/>
      <w:numFmt w:val="decimal"/>
      <w:lvlText w:val="%1."/>
      <w:lvlJc w:val="left"/>
      <w:pPr>
        <w:tabs>
          <w:tab w:val="num" w:pos="360"/>
        </w:tabs>
        <w:ind w:left="360" w:hanging="360"/>
      </w:pPr>
    </w:lvl>
  </w:abstractNum>
  <w:abstractNum w:abstractNumId="9">
    <w:nsid w:val="FFFFFF89"/>
    <w:multiLevelType w:val="singleLevel"/>
    <w:tmpl w:val="8C3685FE"/>
    <w:lvl w:ilvl="0">
      <w:start w:val="1"/>
      <w:numFmt w:val="bullet"/>
      <w:lvlText w:val=""/>
      <w:lvlJc w:val="left"/>
      <w:pPr>
        <w:tabs>
          <w:tab w:val="num" w:pos="360"/>
        </w:tabs>
        <w:ind w:left="360" w:hanging="360"/>
      </w:pPr>
      <w:rPr>
        <w:rFonts w:ascii="Symbol" w:hAnsi="Symbol" w:hint="default"/>
      </w:rPr>
    </w:lvl>
  </w:abstractNum>
  <w:abstractNum w:abstractNumId="10">
    <w:nsid w:val="033955A7"/>
    <w:multiLevelType w:val="multilevel"/>
    <w:tmpl w:val="5E8EE4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1F1C38B7"/>
    <w:multiLevelType w:val="hybridMultilevel"/>
    <w:tmpl w:val="EA161236"/>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2">
    <w:nsid w:val="2C29633A"/>
    <w:multiLevelType w:val="hybridMultilevel"/>
    <w:tmpl w:val="AE429526"/>
    <w:lvl w:ilvl="0" w:tplc="E458C1BA">
      <w:start w:val="1"/>
      <w:numFmt w:val="bullet"/>
      <w:pStyle w:val="-"/>
      <w:lvlText w:val=""/>
      <w:lvlJc w:val="left"/>
      <w:pPr>
        <w:ind w:left="1009" w:hanging="360"/>
      </w:pPr>
      <w:rPr>
        <w:rFonts w:ascii="Symbol" w:hAnsi="Symbol" w:hint="default"/>
        <w:sz w:val="20"/>
      </w:rPr>
    </w:lvl>
    <w:lvl w:ilvl="1" w:tplc="04190003" w:tentative="1">
      <w:start w:val="1"/>
      <w:numFmt w:val="bullet"/>
      <w:lvlText w:val="o"/>
      <w:lvlJc w:val="left"/>
      <w:pPr>
        <w:ind w:left="1729" w:hanging="360"/>
      </w:pPr>
      <w:rPr>
        <w:rFonts w:ascii="Courier New" w:hAnsi="Courier New" w:cs="Courier New" w:hint="default"/>
      </w:rPr>
    </w:lvl>
    <w:lvl w:ilvl="2" w:tplc="04190005" w:tentative="1">
      <w:start w:val="1"/>
      <w:numFmt w:val="bullet"/>
      <w:lvlText w:val=""/>
      <w:lvlJc w:val="left"/>
      <w:pPr>
        <w:ind w:left="2449" w:hanging="360"/>
      </w:pPr>
      <w:rPr>
        <w:rFonts w:ascii="Wingdings" w:hAnsi="Wingdings" w:hint="default"/>
      </w:rPr>
    </w:lvl>
    <w:lvl w:ilvl="3" w:tplc="04190001" w:tentative="1">
      <w:start w:val="1"/>
      <w:numFmt w:val="bullet"/>
      <w:lvlText w:val=""/>
      <w:lvlJc w:val="left"/>
      <w:pPr>
        <w:ind w:left="3169" w:hanging="360"/>
      </w:pPr>
      <w:rPr>
        <w:rFonts w:ascii="Symbol" w:hAnsi="Symbol" w:hint="default"/>
      </w:rPr>
    </w:lvl>
    <w:lvl w:ilvl="4" w:tplc="04190003" w:tentative="1">
      <w:start w:val="1"/>
      <w:numFmt w:val="bullet"/>
      <w:lvlText w:val="o"/>
      <w:lvlJc w:val="left"/>
      <w:pPr>
        <w:ind w:left="3889" w:hanging="360"/>
      </w:pPr>
      <w:rPr>
        <w:rFonts w:ascii="Courier New" w:hAnsi="Courier New" w:cs="Courier New" w:hint="default"/>
      </w:rPr>
    </w:lvl>
    <w:lvl w:ilvl="5" w:tplc="04190005" w:tentative="1">
      <w:start w:val="1"/>
      <w:numFmt w:val="bullet"/>
      <w:lvlText w:val=""/>
      <w:lvlJc w:val="left"/>
      <w:pPr>
        <w:ind w:left="4609" w:hanging="360"/>
      </w:pPr>
      <w:rPr>
        <w:rFonts w:ascii="Wingdings" w:hAnsi="Wingdings" w:hint="default"/>
      </w:rPr>
    </w:lvl>
    <w:lvl w:ilvl="6" w:tplc="04190001" w:tentative="1">
      <w:start w:val="1"/>
      <w:numFmt w:val="bullet"/>
      <w:lvlText w:val=""/>
      <w:lvlJc w:val="left"/>
      <w:pPr>
        <w:ind w:left="5329" w:hanging="360"/>
      </w:pPr>
      <w:rPr>
        <w:rFonts w:ascii="Symbol" w:hAnsi="Symbol" w:hint="default"/>
      </w:rPr>
    </w:lvl>
    <w:lvl w:ilvl="7" w:tplc="04190003" w:tentative="1">
      <w:start w:val="1"/>
      <w:numFmt w:val="bullet"/>
      <w:lvlText w:val="o"/>
      <w:lvlJc w:val="left"/>
      <w:pPr>
        <w:ind w:left="6049" w:hanging="360"/>
      </w:pPr>
      <w:rPr>
        <w:rFonts w:ascii="Courier New" w:hAnsi="Courier New" w:cs="Courier New" w:hint="default"/>
      </w:rPr>
    </w:lvl>
    <w:lvl w:ilvl="8" w:tplc="04190005" w:tentative="1">
      <w:start w:val="1"/>
      <w:numFmt w:val="bullet"/>
      <w:lvlText w:val=""/>
      <w:lvlJc w:val="left"/>
      <w:pPr>
        <w:ind w:left="6769" w:hanging="360"/>
      </w:pPr>
      <w:rPr>
        <w:rFonts w:ascii="Wingdings" w:hAnsi="Wingdings" w:hint="default"/>
      </w:rPr>
    </w:lvl>
  </w:abstractNum>
  <w:abstractNum w:abstractNumId="13">
    <w:nsid w:val="32065969"/>
    <w:multiLevelType w:val="hybridMultilevel"/>
    <w:tmpl w:val="AE8846FA"/>
    <w:lvl w:ilvl="0" w:tplc="04190001">
      <w:start w:val="1"/>
      <w:numFmt w:val="bullet"/>
      <w:lvlText w:val=""/>
      <w:lvlJc w:val="left"/>
      <w:pPr>
        <w:ind w:left="1009" w:hanging="360"/>
      </w:pPr>
      <w:rPr>
        <w:rFonts w:ascii="Symbol" w:hAnsi="Symbol" w:hint="default"/>
      </w:rPr>
    </w:lvl>
    <w:lvl w:ilvl="1" w:tplc="04190003" w:tentative="1">
      <w:start w:val="1"/>
      <w:numFmt w:val="bullet"/>
      <w:lvlText w:val="o"/>
      <w:lvlJc w:val="left"/>
      <w:pPr>
        <w:ind w:left="1729" w:hanging="360"/>
      </w:pPr>
      <w:rPr>
        <w:rFonts w:ascii="Courier New" w:hAnsi="Courier New" w:cs="Courier New" w:hint="default"/>
      </w:rPr>
    </w:lvl>
    <w:lvl w:ilvl="2" w:tplc="04190005" w:tentative="1">
      <w:start w:val="1"/>
      <w:numFmt w:val="bullet"/>
      <w:lvlText w:val=""/>
      <w:lvlJc w:val="left"/>
      <w:pPr>
        <w:ind w:left="2449" w:hanging="360"/>
      </w:pPr>
      <w:rPr>
        <w:rFonts w:ascii="Wingdings" w:hAnsi="Wingdings" w:hint="default"/>
      </w:rPr>
    </w:lvl>
    <w:lvl w:ilvl="3" w:tplc="04190001" w:tentative="1">
      <w:start w:val="1"/>
      <w:numFmt w:val="bullet"/>
      <w:lvlText w:val=""/>
      <w:lvlJc w:val="left"/>
      <w:pPr>
        <w:ind w:left="3169" w:hanging="360"/>
      </w:pPr>
      <w:rPr>
        <w:rFonts w:ascii="Symbol" w:hAnsi="Symbol" w:hint="default"/>
      </w:rPr>
    </w:lvl>
    <w:lvl w:ilvl="4" w:tplc="04190003" w:tentative="1">
      <w:start w:val="1"/>
      <w:numFmt w:val="bullet"/>
      <w:lvlText w:val="o"/>
      <w:lvlJc w:val="left"/>
      <w:pPr>
        <w:ind w:left="3889" w:hanging="360"/>
      </w:pPr>
      <w:rPr>
        <w:rFonts w:ascii="Courier New" w:hAnsi="Courier New" w:cs="Courier New" w:hint="default"/>
      </w:rPr>
    </w:lvl>
    <w:lvl w:ilvl="5" w:tplc="04190005" w:tentative="1">
      <w:start w:val="1"/>
      <w:numFmt w:val="bullet"/>
      <w:lvlText w:val=""/>
      <w:lvlJc w:val="left"/>
      <w:pPr>
        <w:ind w:left="4609" w:hanging="360"/>
      </w:pPr>
      <w:rPr>
        <w:rFonts w:ascii="Wingdings" w:hAnsi="Wingdings" w:hint="default"/>
      </w:rPr>
    </w:lvl>
    <w:lvl w:ilvl="6" w:tplc="04190001" w:tentative="1">
      <w:start w:val="1"/>
      <w:numFmt w:val="bullet"/>
      <w:lvlText w:val=""/>
      <w:lvlJc w:val="left"/>
      <w:pPr>
        <w:ind w:left="5329" w:hanging="360"/>
      </w:pPr>
      <w:rPr>
        <w:rFonts w:ascii="Symbol" w:hAnsi="Symbol" w:hint="default"/>
      </w:rPr>
    </w:lvl>
    <w:lvl w:ilvl="7" w:tplc="04190003" w:tentative="1">
      <w:start w:val="1"/>
      <w:numFmt w:val="bullet"/>
      <w:lvlText w:val="o"/>
      <w:lvlJc w:val="left"/>
      <w:pPr>
        <w:ind w:left="6049" w:hanging="360"/>
      </w:pPr>
      <w:rPr>
        <w:rFonts w:ascii="Courier New" w:hAnsi="Courier New" w:cs="Courier New" w:hint="default"/>
      </w:rPr>
    </w:lvl>
    <w:lvl w:ilvl="8" w:tplc="04190005" w:tentative="1">
      <w:start w:val="1"/>
      <w:numFmt w:val="bullet"/>
      <w:lvlText w:val=""/>
      <w:lvlJc w:val="left"/>
      <w:pPr>
        <w:ind w:left="6769" w:hanging="360"/>
      </w:pPr>
      <w:rPr>
        <w:rFonts w:ascii="Wingdings" w:hAnsi="Wingdings" w:hint="default"/>
      </w:rPr>
    </w:lvl>
  </w:abstractNum>
  <w:abstractNum w:abstractNumId="14">
    <w:nsid w:val="36D54B57"/>
    <w:multiLevelType w:val="hybridMultilevel"/>
    <w:tmpl w:val="47423E50"/>
    <w:lvl w:ilvl="0" w:tplc="8436A046">
      <w:start w:val="1"/>
      <w:numFmt w:val="decimal"/>
      <w:lvlText w:val="%1."/>
      <w:lvlJc w:val="left"/>
      <w:pPr>
        <w:ind w:left="649" w:hanging="360"/>
      </w:pPr>
      <w:rPr>
        <w:rFonts w:hint="default"/>
      </w:rPr>
    </w:lvl>
    <w:lvl w:ilvl="1" w:tplc="04190019" w:tentative="1">
      <w:start w:val="1"/>
      <w:numFmt w:val="lowerLetter"/>
      <w:lvlText w:val="%2."/>
      <w:lvlJc w:val="left"/>
      <w:pPr>
        <w:ind w:left="1369" w:hanging="360"/>
      </w:pPr>
    </w:lvl>
    <w:lvl w:ilvl="2" w:tplc="0419001B" w:tentative="1">
      <w:start w:val="1"/>
      <w:numFmt w:val="lowerRoman"/>
      <w:lvlText w:val="%3."/>
      <w:lvlJc w:val="right"/>
      <w:pPr>
        <w:ind w:left="2089" w:hanging="180"/>
      </w:pPr>
    </w:lvl>
    <w:lvl w:ilvl="3" w:tplc="0419000F" w:tentative="1">
      <w:start w:val="1"/>
      <w:numFmt w:val="decimal"/>
      <w:lvlText w:val="%4."/>
      <w:lvlJc w:val="left"/>
      <w:pPr>
        <w:ind w:left="2809" w:hanging="360"/>
      </w:pPr>
    </w:lvl>
    <w:lvl w:ilvl="4" w:tplc="04190019" w:tentative="1">
      <w:start w:val="1"/>
      <w:numFmt w:val="lowerLetter"/>
      <w:lvlText w:val="%5."/>
      <w:lvlJc w:val="left"/>
      <w:pPr>
        <w:ind w:left="3529" w:hanging="360"/>
      </w:pPr>
    </w:lvl>
    <w:lvl w:ilvl="5" w:tplc="0419001B" w:tentative="1">
      <w:start w:val="1"/>
      <w:numFmt w:val="lowerRoman"/>
      <w:lvlText w:val="%6."/>
      <w:lvlJc w:val="right"/>
      <w:pPr>
        <w:ind w:left="4249" w:hanging="180"/>
      </w:pPr>
    </w:lvl>
    <w:lvl w:ilvl="6" w:tplc="0419000F" w:tentative="1">
      <w:start w:val="1"/>
      <w:numFmt w:val="decimal"/>
      <w:lvlText w:val="%7."/>
      <w:lvlJc w:val="left"/>
      <w:pPr>
        <w:ind w:left="4969" w:hanging="360"/>
      </w:pPr>
    </w:lvl>
    <w:lvl w:ilvl="7" w:tplc="04190019" w:tentative="1">
      <w:start w:val="1"/>
      <w:numFmt w:val="lowerLetter"/>
      <w:lvlText w:val="%8."/>
      <w:lvlJc w:val="left"/>
      <w:pPr>
        <w:ind w:left="5689" w:hanging="360"/>
      </w:pPr>
    </w:lvl>
    <w:lvl w:ilvl="8" w:tplc="0419001B" w:tentative="1">
      <w:start w:val="1"/>
      <w:numFmt w:val="lowerRoman"/>
      <w:lvlText w:val="%9."/>
      <w:lvlJc w:val="right"/>
      <w:pPr>
        <w:ind w:left="6409" w:hanging="180"/>
      </w:pPr>
    </w:lvl>
  </w:abstractNum>
  <w:abstractNum w:abstractNumId="15">
    <w:nsid w:val="37660336"/>
    <w:multiLevelType w:val="hybridMultilevel"/>
    <w:tmpl w:val="754EAC84"/>
    <w:lvl w:ilvl="0" w:tplc="C46877EA">
      <w:start w:val="1"/>
      <w:numFmt w:val="bullet"/>
      <w:lvlText w:val=""/>
      <w:lvlJc w:val="left"/>
      <w:pPr>
        <w:tabs>
          <w:tab w:val="num" w:pos="648"/>
        </w:tabs>
        <w:ind w:left="648"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6">
    <w:nsid w:val="37CC5E57"/>
    <w:multiLevelType w:val="hybridMultilevel"/>
    <w:tmpl w:val="F27ABC80"/>
    <w:lvl w:ilvl="0" w:tplc="21DE83DC">
      <w:start w:val="1"/>
      <w:numFmt w:val="decimal"/>
      <w:pStyle w:val="a"/>
      <w:lvlText w:val="Рис. %1. "/>
      <w:lvlJc w:val="left"/>
      <w:pPr>
        <w:ind w:left="360" w:hanging="360"/>
      </w:pPr>
      <w:rPr>
        <w:rFonts w:ascii="Times New Roman" w:hAnsi="Times New Roman" w:cs="Times New Roman" w:hint="default"/>
        <w:b w:val="0"/>
        <w:bCs w:val="0"/>
        <w:i w:val="0"/>
        <w:iCs w:val="0"/>
        <w:spacing w:val="0"/>
        <w:w w:val="100"/>
        <w:sz w:val="16"/>
        <w:szCs w:val="16"/>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39E96F1D"/>
    <w:multiLevelType w:val="multilevel"/>
    <w:tmpl w:val="EF8A05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3EDF396E"/>
    <w:multiLevelType w:val="hybridMultilevel"/>
    <w:tmpl w:val="DE167AB8"/>
    <w:lvl w:ilvl="0" w:tplc="1B20DA2C">
      <w:start w:val="1"/>
      <w:numFmt w:val="decimal"/>
      <w:lvlText w:val="%1."/>
      <w:lvlJc w:val="left"/>
      <w:pPr>
        <w:ind w:left="720" w:hanging="360"/>
      </w:pPr>
      <w:rPr>
        <w:rFonts w:ascii="Times New Roman" w:hAnsi="Times New Roman" w:hint="default"/>
        <w:strike w:val="0"/>
        <w:dstrike w:val="0"/>
        <w:color w:val="000000" w:themeColor="text1"/>
        <w:sz w:val="1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4189603E"/>
    <w:multiLevelType w:val="multilevel"/>
    <w:tmpl w:val="3A0E9710"/>
    <w:lvl w:ilvl="0">
      <w:start w:val="1"/>
      <w:numFmt w:val="upperRoman"/>
      <w:pStyle w:val="1"/>
      <w:lvlText w:val="%1."/>
      <w:lvlJc w:val="center"/>
      <w:pPr>
        <w:tabs>
          <w:tab w:val="num" w:pos="576"/>
        </w:tabs>
        <w:ind w:firstLine="216"/>
      </w:pPr>
      <w:rPr>
        <w:rFonts w:ascii="Times New Roman" w:hAnsi="Times New Roman" w:cs="Times New Roman" w:hint="default"/>
        <w:caps w:val="0"/>
        <w:strike w:val="0"/>
        <w:dstrike w:val="0"/>
        <w:outline w:val="0"/>
        <w:shadow w:val="0"/>
        <w:emboss w:val="0"/>
        <w:imprint w:val="0"/>
        <w:vanish w:val="0"/>
        <w:color w:val="auto"/>
        <w:sz w:val="20"/>
        <w:szCs w:val="20"/>
        <w:vertAlign w:val="baseline"/>
      </w:rPr>
    </w:lvl>
    <w:lvl w:ilvl="1">
      <w:start w:val="1"/>
      <w:numFmt w:val="upperLetter"/>
      <w:pStyle w:val="2"/>
      <w:lvlText w:val="%2."/>
      <w:lvlJc w:val="left"/>
      <w:pPr>
        <w:tabs>
          <w:tab w:val="num" w:pos="360"/>
        </w:tabs>
        <w:ind w:left="288" w:hanging="288"/>
      </w:pPr>
      <w:rPr>
        <w:rFonts w:ascii="Times New Roman" w:hAnsi="Times New Roman" w:cs="Times New Roman" w:hint="default"/>
        <w:b w:val="0"/>
        <w:bCs w:val="0"/>
        <w:i/>
        <w:iCs/>
        <w:caps w:val="0"/>
        <w:strike w:val="0"/>
        <w:dstrike w:val="0"/>
        <w:outline w:val="0"/>
        <w:shadow w:val="0"/>
        <w:emboss w:val="0"/>
        <w:imprint w:val="0"/>
        <w:vanish w:val="0"/>
        <w:color w:val="auto"/>
        <w:sz w:val="20"/>
        <w:szCs w:val="20"/>
        <w:vertAlign w:val="baseline"/>
      </w:rPr>
    </w:lvl>
    <w:lvl w:ilvl="2">
      <w:start w:val="1"/>
      <w:numFmt w:val="decimal"/>
      <w:pStyle w:val="3"/>
      <w:lvlText w:val="%3)"/>
      <w:lvlJc w:val="left"/>
      <w:pPr>
        <w:tabs>
          <w:tab w:val="num" w:pos="540"/>
        </w:tabs>
        <w:ind w:firstLine="180"/>
      </w:pPr>
      <w:rPr>
        <w:rFonts w:ascii="Times New Roman" w:hAnsi="Times New Roman" w:cs="Times New Roman" w:hint="default"/>
        <w:b w:val="0"/>
        <w:bCs w:val="0"/>
        <w:i/>
        <w:iCs/>
        <w:caps w:val="0"/>
        <w:strike w:val="0"/>
        <w:dstrike w:val="0"/>
        <w:outline w:val="0"/>
        <w:shadow w:val="0"/>
        <w:emboss w:val="0"/>
        <w:imprint w:val="0"/>
        <w:vanish w:val="0"/>
        <w:color w:val="auto"/>
        <w:sz w:val="20"/>
        <w:szCs w:val="20"/>
        <w:vertAlign w:val="baseline"/>
      </w:rPr>
    </w:lvl>
    <w:lvl w:ilvl="3">
      <w:start w:val="1"/>
      <w:numFmt w:val="lowerLetter"/>
      <w:pStyle w:val="4"/>
      <w:lvlText w:val="%4)"/>
      <w:lvlJc w:val="left"/>
      <w:pPr>
        <w:tabs>
          <w:tab w:val="num" w:pos="630"/>
        </w:tabs>
        <w:ind w:firstLine="360"/>
      </w:pPr>
      <w:rPr>
        <w:rFonts w:ascii="Times New Roman" w:hAnsi="Times New Roman" w:cs="Times New Roman" w:hint="default"/>
        <w:b w:val="0"/>
        <w:bCs w:val="0"/>
        <w:i/>
        <w:iCs/>
        <w:sz w:val="20"/>
        <w:szCs w:val="20"/>
      </w:rPr>
    </w:lvl>
    <w:lvl w:ilvl="4">
      <w:start w:val="1"/>
      <w:numFmt w:val="none"/>
      <w:lvlRestart w:val="0"/>
      <w:lvlText w:val=""/>
      <w:lvlJc w:val="left"/>
      <w:pPr>
        <w:tabs>
          <w:tab w:val="num" w:pos="3240"/>
        </w:tabs>
        <w:ind w:left="2880"/>
      </w:pPr>
      <w:rPr>
        <w:rFonts w:cs="Times New Roman" w:hint="default"/>
      </w:rPr>
    </w:lvl>
    <w:lvl w:ilvl="5">
      <w:start w:val="1"/>
      <w:numFmt w:val="lowerLetter"/>
      <w:lvlText w:val="(%6)"/>
      <w:lvlJc w:val="left"/>
      <w:pPr>
        <w:tabs>
          <w:tab w:val="num" w:pos="3960"/>
        </w:tabs>
        <w:ind w:left="3600"/>
      </w:pPr>
      <w:rPr>
        <w:rFonts w:cs="Times New Roman" w:hint="default"/>
      </w:rPr>
    </w:lvl>
    <w:lvl w:ilvl="6">
      <w:start w:val="1"/>
      <w:numFmt w:val="lowerRoman"/>
      <w:lvlText w:val="(%7)"/>
      <w:lvlJc w:val="left"/>
      <w:pPr>
        <w:tabs>
          <w:tab w:val="num" w:pos="4680"/>
        </w:tabs>
        <w:ind w:left="4320"/>
      </w:pPr>
      <w:rPr>
        <w:rFonts w:cs="Times New Roman" w:hint="default"/>
      </w:rPr>
    </w:lvl>
    <w:lvl w:ilvl="7">
      <w:start w:val="1"/>
      <w:numFmt w:val="lowerLetter"/>
      <w:lvlText w:val="(%8)"/>
      <w:lvlJc w:val="left"/>
      <w:pPr>
        <w:tabs>
          <w:tab w:val="num" w:pos="5400"/>
        </w:tabs>
        <w:ind w:left="5040"/>
      </w:pPr>
      <w:rPr>
        <w:rFonts w:cs="Times New Roman" w:hint="default"/>
      </w:rPr>
    </w:lvl>
    <w:lvl w:ilvl="8">
      <w:start w:val="1"/>
      <w:numFmt w:val="lowerRoman"/>
      <w:lvlText w:val="(%9)"/>
      <w:lvlJc w:val="left"/>
      <w:pPr>
        <w:tabs>
          <w:tab w:val="num" w:pos="6120"/>
        </w:tabs>
        <w:ind w:left="5760"/>
      </w:pPr>
      <w:rPr>
        <w:rFonts w:cs="Times New Roman" w:hint="default"/>
      </w:rPr>
    </w:lvl>
  </w:abstractNum>
  <w:abstractNum w:abstractNumId="20">
    <w:nsid w:val="42991D78"/>
    <w:multiLevelType w:val="hybridMultilevel"/>
    <w:tmpl w:val="562096E4"/>
    <w:lvl w:ilvl="0" w:tplc="E076B8E2">
      <w:start w:val="1"/>
      <w:numFmt w:val="decimal"/>
      <w:lvlText w:val="%1."/>
      <w:lvlJc w:val="left"/>
      <w:pPr>
        <w:ind w:left="1077" w:hanging="360"/>
      </w:pPr>
    </w:lvl>
    <w:lvl w:ilvl="1" w:tplc="04190019" w:tentative="1">
      <w:start w:val="1"/>
      <w:numFmt w:val="lowerLetter"/>
      <w:lvlText w:val="%2."/>
      <w:lvlJc w:val="left"/>
      <w:pPr>
        <w:ind w:left="1797" w:hanging="360"/>
      </w:pPr>
    </w:lvl>
    <w:lvl w:ilvl="2" w:tplc="0419001B" w:tentative="1">
      <w:start w:val="1"/>
      <w:numFmt w:val="lowerRoman"/>
      <w:lvlText w:val="%3."/>
      <w:lvlJc w:val="right"/>
      <w:pPr>
        <w:ind w:left="2517" w:hanging="180"/>
      </w:pPr>
    </w:lvl>
    <w:lvl w:ilvl="3" w:tplc="0419000F" w:tentative="1">
      <w:start w:val="1"/>
      <w:numFmt w:val="decimal"/>
      <w:lvlText w:val="%4."/>
      <w:lvlJc w:val="left"/>
      <w:pPr>
        <w:ind w:left="3237" w:hanging="360"/>
      </w:pPr>
    </w:lvl>
    <w:lvl w:ilvl="4" w:tplc="04190019" w:tentative="1">
      <w:start w:val="1"/>
      <w:numFmt w:val="lowerLetter"/>
      <w:lvlText w:val="%5."/>
      <w:lvlJc w:val="left"/>
      <w:pPr>
        <w:ind w:left="3957" w:hanging="360"/>
      </w:pPr>
    </w:lvl>
    <w:lvl w:ilvl="5" w:tplc="0419001B" w:tentative="1">
      <w:start w:val="1"/>
      <w:numFmt w:val="lowerRoman"/>
      <w:lvlText w:val="%6."/>
      <w:lvlJc w:val="right"/>
      <w:pPr>
        <w:ind w:left="4677" w:hanging="180"/>
      </w:pPr>
    </w:lvl>
    <w:lvl w:ilvl="6" w:tplc="0419000F" w:tentative="1">
      <w:start w:val="1"/>
      <w:numFmt w:val="decimal"/>
      <w:lvlText w:val="%7."/>
      <w:lvlJc w:val="left"/>
      <w:pPr>
        <w:ind w:left="5397" w:hanging="360"/>
      </w:pPr>
    </w:lvl>
    <w:lvl w:ilvl="7" w:tplc="04190019" w:tentative="1">
      <w:start w:val="1"/>
      <w:numFmt w:val="lowerLetter"/>
      <w:lvlText w:val="%8."/>
      <w:lvlJc w:val="left"/>
      <w:pPr>
        <w:ind w:left="6117" w:hanging="360"/>
      </w:pPr>
    </w:lvl>
    <w:lvl w:ilvl="8" w:tplc="0419001B" w:tentative="1">
      <w:start w:val="1"/>
      <w:numFmt w:val="lowerRoman"/>
      <w:lvlText w:val="%9."/>
      <w:lvlJc w:val="right"/>
      <w:pPr>
        <w:ind w:left="6837" w:hanging="180"/>
      </w:pPr>
    </w:lvl>
  </w:abstractNum>
  <w:abstractNum w:abstractNumId="21">
    <w:nsid w:val="49A334E9"/>
    <w:multiLevelType w:val="hybridMultilevel"/>
    <w:tmpl w:val="7B1EC43C"/>
    <w:lvl w:ilvl="0" w:tplc="E6F620BE">
      <w:start w:val="1"/>
      <w:numFmt w:val="upperRoman"/>
      <w:lvlText w:val="ТАБЛИЦА %1. "/>
      <w:lvlJc w:val="center"/>
      <w:pPr>
        <w:ind w:left="720" w:hanging="360"/>
      </w:pPr>
      <w:rPr>
        <w:rFonts w:ascii="Times New Roman" w:hAnsi="Times New Roman" w:cs="Times New Roman" w:hint="default"/>
        <w:b w:val="0"/>
        <w:bCs w:val="0"/>
        <w:i w:val="0"/>
        <w:iCs w:val="0"/>
        <w:caps w:val="0"/>
        <w:strike w:val="0"/>
        <w:dstrike w:val="0"/>
        <w:vanish w:val="0"/>
        <w:color w:val="000000"/>
        <w:spacing w:val="0"/>
        <w:kern w:val="0"/>
        <w:position w:val="0"/>
        <w:sz w:val="16"/>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4B9563FD"/>
    <w:multiLevelType w:val="hybridMultilevel"/>
    <w:tmpl w:val="D14E465A"/>
    <w:lvl w:ilvl="0" w:tplc="259E95F6">
      <w:start w:val="1"/>
      <w:numFmt w:val="decimal"/>
      <w:pStyle w:val="a0"/>
      <w:lvlText w:val="[%1]"/>
      <w:lvlJc w:val="left"/>
      <w:pPr>
        <w:ind w:left="720" w:hanging="360"/>
      </w:pPr>
      <w:rPr>
        <w:rFonts w:ascii="Times New Roman" w:hAnsi="Times New Roman" w:cs="Times New Roman" w:hint="default"/>
        <w:b w:val="0"/>
        <w:bCs w:val="0"/>
        <w:i w:val="0"/>
        <w:iCs w:val="0"/>
        <w:sz w:val="16"/>
        <w:szCs w:val="16"/>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52CA544A"/>
    <w:multiLevelType w:val="singleLevel"/>
    <w:tmpl w:val="E1484500"/>
    <w:lvl w:ilvl="0">
      <w:start w:val="1"/>
      <w:numFmt w:val="decimal"/>
      <w:lvlText w:val="[%1]"/>
      <w:lvlJc w:val="left"/>
      <w:pPr>
        <w:tabs>
          <w:tab w:val="num" w:pos="2487"/>
        </w:tabs>
        <w:ind w:left="2487" w:hanging="360"/>
      </w:pPr>
      <w:rPr>
        <w:rFonts w:ascii="Times New Roman" w:hAnsi="Times New Roman" w:cs="Times New Roman" w:hint="default"/>
        <w:b w:val="0"/>
        <w:bCs w:val="0"/>
        <w:i w:val="0"/>
        <w:iCs w:val="0"/>
        <w:sz w:val="16"/>
        <w:szCs w:val="16"/>
      </w:rPr>
    </w:lvl>
  </w:abstractNum>
  <w:abstractNum w:abstractNumId="24">
    <w:nsid w:val="57FE6E41"/>
    <w:multiLevelType w:val="hybridMultilevel"/>
    <w:tmpl w:val="1E6EA822"/>
    <w:lvl w:ilvl="0" w:tplc="6EB815B2">
      <w:start w:val="1"/>
      <w:numFmt w:val="decimal"/>
      <w:lvlText w:val="Рис. %1. "/>
      <w:lvlJc w:val="left"/>
      <w:pPr>
        <w:ind w:left="720" w:hanging="360"/>
      </w:pPr>
      <w:rPr>
        <w:rFonts w:ascii="Times New Roman" w:hAnsi="Times New Roman" w:cs="Times New Roman" w:hint="default"/>
        <w:b w:val="0"/>
        <w:bCs w:val="0"/>
        <w:i w:val="0"/>
        <w:iCs w:val="0"/>
        <w:sz w:val="16"/>
        <w:szCs w:val="16"/>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25">
    <w:nsid w:val="6C402C58"/>
    <w:multiLevelType w:val="hybridMultilevel"/>
    <w:tmpl w:val="C136E6FE"/>
    <w:lvl w:ilvl="0" w:tplc="1F321310">
      <w:start w:val="1"/>
      <w:numFmt w:val="decimal"/>
      <w:lvlText w:val="Рис. %1."/>
      <w:lvlJc w:val="left"/>
      <w:pPr>
        <w:ind w:left="360" w:hanging="360"/>
      </w:pPr>
      <w:rPr>
        <w:rFonts w:ascii="Times New Roman" w:hAnsi="Times New Roman" w:cs="Times New Roman" w:hint="default"/>
        <w:b w:val="0"/>
        <w:bCs w:val="0"/>
        <w:i w:val="0"/>
        <w:iCs w:val="0"/>
        <w:color w:val="auto"/>
        <w:sz w:val="16"/>
        <w:szCs w:val="16"/>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6">
    <w:nsid w:val="6CD32DA8"/>
    <w:multiLevelType w:val="singleLevel"/>
    <w:tmpl w:val="773808F0"/>
    <w:lvl w:ilvl="0">
      <w:start w:val="1"/>
      <w:numFmt w:val="upperRoman"/>
      <w:lvlText w:val="ТАБЛИЦА %1. "/>
      <w:lvlJc w:val="left"/>
      <w:pPr>
        <w:ind w:left="360" w:hanging="360"/>
      </w:pPr>
      <w:rPr>
        <w:rFonts w:ascii="Times New Roman" w:hAnsi="Times New Roman" w:cs="Times New Roman" w:hint="default"/>
        <w:b w:val="0"/>
        <w:bCs w:val="0"/>
        <w:i w:val="0"/>
        <w:iCs w:val="0"/>
        <w:sz w:val="16"/>
        <w:szCs w:val="16"/>
      </w:rPr>
    </w:lvl>
  </w:abstractNum>
  <w:abstractNum w:abstractNumId="27">
    <w:nsid w:val="71C30FF5"/>
    <w:multiLevelType w:val="hybridMultilevel"/>
    <w:tmpl w:val="D548C94E"/>
    <w:lvl w:ilvl="0" w:tplc="76A65866">
      <w:start w:val="1"/>
      <w:numFmt w:val="upperRoman"/>
      <w:lvlText w:val="ТАБЛИЦА %1. "/>
      <w:lvlJc w:val="center"/>
      <w:pPr>
        <w:ind w:left="814" w:hanging="360"/>
      </w:pPr>
      <w:rPr>
        <w:rFonts w:ascii="Times New Roman" w:hAnsi="Times New Roman" w:cs="Times New Roman" w:hint="default"/>
        <w:b w:val="0"/>
        <w:bCs w:val="0"/>
        <w:i w:val="0"/>
        <w:iCs w:val="0"/>
        <w:caps w:val="0"/>
        <w:smallCaps w:val="0"/>
        <w:strike w:val="0"/>
        <w:dstrike w:val="0"/>
        <w:noProof w:val="0"/>
        <w:snapToGrid w:val="0"/>
        <w:vanish w:val="0"/>
        <w:color w:val="000000"/>
        <w:spacing w:val="0"/>
        <w:w w:val="0"/>
        <w:kern w:val="0"/>
        <w:position w:val="0"/>
        <w:sz w:val="16"/>
        <w:szCs w:val="16"/>
        <w:u w:val="none" w:color="000000"/>
        <w:effect w:val="none"/>
        <w:bdr w:val="none" w:sz="0" w:space="0" w:color="000000"/>
        <w:shd w:val="clear" w:color="000000" w:fill="000000"/>
        <w:vertAlign w:val="baseline"/>
        <w:em w:val="none"/>
        <w:lang w:val="x-none" w:eastAsia="x-none"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190019" w:tentative="1">
      <w:start w:val="1"/>
      <w:numFmt w:val="lowerLetter"/>
      <w:lvlText w:val="%2."/>
      <w:lvlJc w:val="left"/>
      <w:pPr>
        <w:ind w:left="1729" w:hanging="360"/>
      </w:pPr>
    </w:lvl>
    <w:lvl w:ilvl="2" w:tplc="0419001B" w:tentative="1">
      <w:start w:val="1"/>
      <w:numFmt w:val="lowerRoman"/>
      <w:lvlText w:val="%3."/>
      <w:lvlJc w:val="right"/>
      <w:pPr>
        <w:ind w:left="2449" w:hanging="180"/>
      </w:pPr>
    </w:lvl>
    <w:lvl w:ilvl="3" w:tplc="0419000F" w:tentative="1">
      <w:start w:val="1"/>
      <w:numFmt w:val="decimal"/>
      <w:lvlText w:val="%4."/>
      <w:lvlJc w:val="left"/>
      <w:pPr>
        <w:ind w:left="3169" w:hanging="360"/>
      </w:pPr>
    </w:lvl>
    <w:lvl w:ilvl="4" w:tplc="04190019" w:tentative="1">
      <w:start w:val="1"/>
      <w:numFmt w:val="lowerLetter"/>
      <w:lvlText w:val="%5."/>
      <w:lvlJc w:val="left"/>
      <w:pPr>
        <w:ind w:left="3889" w:hanging="360"/>
      </w:pPr>
    </w:lvl>
    <w:lvl w:ilvl="5" w:tplc="0419001B" w:tentative="1">
      <w:start w:val="1"/>
      <w:numFmt w:val="lowerRoman"/>
      <w:lvlText w:val="%6."/>
      <w:lvlJc w:val="right"/>
      <w:pPr>
        <w:ind w:left="4609" w:hanging="180"/>
      </w:pPr>
    </w:lvl>
    <w:lvl w:ilvl="6" w:tplc="0419000F" w:tentative="1">
      <w:start w:val="1"/>
      <w:numFmt w:val="decimal"/>
      <w:lvlText w:val="%7."/>
      <w:lvlJc w:val="left"/>
      <w:pPr>
        <w:ind w:left="5329" w:hanging="360"/>
      </w:pPr>
    </w:lvl>
    <w:lvl w:ilvl="7" w:tplc="04190019" w:tentative="1">
      <w:start w:val="1"/>
      <w:numFmt w:val="lowerLetter"/>
      <w:lvlText w:val="%8."/>
      <w:lvlJc w:val="left"/>
      <w:pPr>
        <w:ind w:left="6049" w:hanging="360"/>
      </w:pPr>
    </w:lvl>
    <w:lvl w:ilvl="8" w:tplc="0419001B" w:tentative="1">
      <w:start w:val="1"/>
      <w:numFmt w:val="lowerRoman"/>
      <w:lvlText w:val="%9."/>
      <w:lvlJc w:val="right"/>
      <w:pPr>
        <w:ind w:left="6769" w:hanging="180"/>
      </w:pPr>
    </w:lvl>
  </w:abstractNum>
  <w:abstractNum w:abstractNumId="28">
    <w:nsid w:val="72951F90"/>
    <w:multiLevelType w:val="hybridMultilevel"/>
    <w:tmpl w:val="80C0EC0C"/>
    <w:lvl w:ilvl="0" w:tplc="446C6AE2">
      <w:start w:val="1"/>
      <w:numFmt w:val="upperRoman"/>
      <w:pStyle w:val="a1"/>
      <w:lvlText w:val="ТАБЛИЦА %1. "/>
      <w:lvlJc w:val="center"/>
      <w:pPr>
        <w:ind w:left="720" w:hanging="360"/>
      </w:pPr>
      <w:rPr>
        <w:rFonts w:ascii="Times New Roman" w:hAnsi="Times New Roman" w:cs="Times New Roman" w:hint="default"/>
        <w:b w:val="0"/>
        <w:bCs w:val="0"/>
        <w:i w:val="0"/>
        <w:iCs w:val="0"/>
        <w:caps w:val="0"/>
        <w:strike w:val="0"/>
        <w:dstrike w:val="0"/>
        <w:outline w:val="0"/>
        <w:shadow w:val="0"/>
        <w:emboss w:val="0"/>
        <w:imprint w:val="0"/>
        <w:vanish w:val="0"/>
        <w:spacing w:val="0"/>
        <w:kern w:val="0"/>
        <w:position w:val="0"/>
        <w:sz w:val="16"/>
        <w:u w:val="none"/>
        <w:effect w:val="none"/>
        <w:vertAlign w:val="baseline"/>
        <w:em w:val="none"/>
        <w14:ligatures w14:val="none"/>
        <w14:numForm w14:val="default"/>
        <w14:numSpacing w14:val="default"/>
        <w14:stylisticSets/>
        <w14:cntxtAlts w14: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8"/>
  </w:num>
  <w:num w:numId="2">
    <w:abstractNumId w:val="19"/>
  </w:num>
  <w:num w:numId="3">
    <w:abstractNumId w:val="19"/>
  </w:num>
  <w:num w:numId="4">
    <w:abstractNumId w:val="19"/>
  </w:num>
  <w:num w:numId="5">
    <w:abstractNumId w:val="19"/>
  </w:num>
  <w:num w:numId="6">
    <w:abstractNumId w:val="26"/>
  </w:num>
  <w:num w:numId="7">
    <w:abstractNumId w:val="24"/>
  </w:num>
  <w:num w:numId="8">
    <w:abstractNumId w:val="23"/>
  </w:num>
  <w:num w:numId="9">
    <w:abstractNumId w:val="15"/>
  </w:num>
  <w:num w:numId="10">
    <w:abstractNumId w:val="19"/>
  </w:num>
  <w:num w:numId="11">
    <w:abstractNumId w:val="19"/>
  </w:num>
  <w:num w:numId="12">
    <w:abstractNumId w:val="19"/>
  </w:num>
  <w:num w:numId="13">
    <w:abstractNumId w:val="19"/>
  </w:num>
  <w:num w:numId="14">
    <w:abstractNumId w:val="26"/>
  </w:num>
  <w:num w:numId="15">
    <w:abstractNumId w:val="24"/>
  </w:num>
  <w:num w:numId="16">
    <w:abstractNumId w:val="23"/>
  </w:num>
  <w:num w:numId="17">
    <w:abstractNumId w:val="15"/>
  </w:num>
  <w:num w:numId="18">
    <w:abstractNumId w:val="12"/>
  </w:num>
  <w:num w:numId="19">
    <w:abstractNumId w:val="16"/>
  </w:num>
  <w:num w:numId="20">
    <w:abstractNumId w:val="27"/>
  </w:num>
  <w:num w:numId="21">
    <w:abstractNumId w:val="9"/>
  </w:num>
  <w:num w:numId="22">
    <w:abstractNumId w:val="7"/>
  </w:num>
  <w:num w:numId="23">
    <w:abstractNumId w:val="6"/>
  </w:num>
  <w:num w:numId="24">
    <w:abstractNumId w:val="5"/>
  </w:num>
  <w:num w:numId="25">
    <w:abstractNumId w:val="4"/>
  </w:num>
  <w:num w:numId="26">
    <w:abstractNumId w:val="8"/>
  </w:num>
  <w:num w:numId="27">
    <w:abstractNumId w:val="3"/>
  </w:num>
  <w:num w:numId="28">
    <w:abstractNumId w:val="2"/>
  </w:num>
  <w:num w:numId="29">
    <w:abstractNumId w:val="1"/>
  </w:num>
  <w:num w:numId="30">
    <w:abstractNumId w:val="0"/>
  </w:num>
  <w:num w:numId="31">
    <w:abstractNumId w:val="22"/>
  </w:num>
  <w:num w:numId="32">
    <w:abstractNumId w:val="25"/>
  </w:num>
  <w:num w:numId="33">
    <w:abstractNumId w:val="21"/>
  </w:num>
  <w:num w:numId="34">
    <w:abstractNumId w:val="28"/>
  </w:num>
  <w:num w:numId="35">
    <w:abstractNumId w:val="11"/>
  </w:num>
  <w:num w:numId="36">
    <w:abstractNumId w:val="17"/>
  </w:num>
  <w:num w:numId="37">
    <w:abstractNumId w:val="13"/>
  </w:num>
  <w:num w:numId="38">
    <w:abstractNumId w:val="14"/>
  </w:num>
  <w:num w:numId="39">
    <w:abstractNumId w:val="16"/>
    <w:lvlOverride w:ilvl="0">
      <w:startOverride w:val="1"/>
    </w:lvlOverride>
  </w:num>
  <w:num w:numId="40">
    <w:abstractNumId w:val="10"/>
  </w:num>
  <w:num w:numId="41">
    <w:abstractNumId w:val="19"/>
  </w:num>
  <w:num w:numId="42">
    <w:abstractNumId w:val="19"/>
  </w:num>
  <w:num w:numId="43">
    <w:abstractNumId w:val="19"/>
  </w:num>
  <w:num w:numId="44">
    <w:abstractNumId w:val="19"/>
  </w:num>
  <w:num w:numId="45">
    <w:abstractNumId w:val="16"/>
  </w:num>
  <w:num w:numId="46">
    <w:abstractNumId w:val="22"/>
  </w:num>
  <w:num w:numId="47">
    <w:abstractNumId w:val="12"/>
  </w:num>
  <w:num w:numId="48">
    <w:abstractNumId w:val="28"/>
  </w:num>
  <w:num w:numId="49">
    <w:abstractNumId w:val="20"/>
  </w:num>
  <w:num w:numId="50">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stylePaneFormatFilter w:val="1001" w:allStyles="1" w:customStyles="0" w:latentStyles="0" w:stylesInUse="0" w:headingStyles="0" w:numberingStyles="0" w:tableStyles="0" w:directFormattingOnRuns="0" w:directFormattingOnParagraphs="0" w:directFormattingOnNumbering="0" w:directFormattingOnTables="0" w:clearFormatting="1" w:top3HeadingStyles="0" w:visibleStyles="0" w:alternateStyleNames="0"/>
  <w:stylePaneSortMethod w:val="0000"/>
  <w:defaultTabStop w:val="567"/>
  <w:consecutiveHyphenLimit w:val="1"/>
  <w:hyphenationZone w:val="142"/>
  <w:doNotHyphenateCaps/>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652D"/>
    <w:rsid w:val="000316FA"/>
    <w:rsid w:val="00052062"/>
    <w:rsid w:val="00087840"/>
    <w:rsid w:val="0013123C"/>
    <w:rsid w:val="001760F7"/>
    <w:rsid w:val="001C10F0"/>
    <w:rsid w:val="00242673"/>
    <w:rsid w:val="00252F87"/>
    <w:rsid w:val="002618CE"/>
    <w:rsid w:val="00295981"/>
    <w:rsid w:val="002D1BAC"/>
    <w:rsid w:val="002D540B"/>
    <w:rsid w:val="002D7219"/>
    <w:rsid w:val="003378F6"/>
    <w:rsid w:val="003420E3"/>
    <w:rsid w:val="00373376"/>
    <w:rsid w:val="003915FB"/>
    <w:rsid w:val="00392399"/>
    <w:rsid w:val="003D785D"/>
    <w:rsid w:val="003E67C0"/>
    <w:rsid w:val="004070B0"/>
    <w:rsid w:val="004165FC"/>
    <w:rsid w:val="00420452"/>
    <w:rsid w:val="00447F6B"/>
    <w:rsid w:val="0047652D"/>
    <w:rsid w:val="004B14C2"/>
    <w:rsid w:val="004C40DB"/>
    <w:rsid w:val="004D7E92"/>
    <w:rsid w:val="004F2CF4"/>
    <w:rsid w:val="004F7362"/>
    <w:rsid w:val="00502710"/>
    <w:rsid w:val="00535924"/>
    <w:rsid w:val="005630E7"/>
    <w:rsid w:val="00580B6E"/>
    <w:rsid w:val="005963D0"/>
    <w:rsid w:val="00672F10"/>
    <w:rsid w:val="00696080"/>
    <w:rsid w:val="006C7749"/>
    <w:rsid w:val="006D605D"/>
    <w:rsid w:val="006E45BB"/>
    <w:rsid w:val="00711520"/>
    <w:rsid w:val="0071573A"/>
    <w:rsid w:val="007316B2"/>
    <w:rsid w:val="00773C3C"/>
    <w:rsid w:val="00791CA2"/>
    <w:rsid w:val="007B6A69"/>
    <w:rsid w:val="0082212A"/>
    <w:rsid w:val="008540C2"/>
    <w:rsid w:val="0087270B"/>
    <w:rsid w:val="008834FE"/>
    <w:rsid w:val="008C2B09"/>
    <w:rsid w:val="008C64AA"/>
    <w:rsid w:val="00936B61"/>
    <w:rsid w:val="00940220"/>
    <w:rsid w:val="00985418"/>
    <w:rsid w:val="00990235"/>
    <w:rsid w:val="009C4B74"/>
    <w:rsid w:val="009F446D"/>
    <w:rsid w:val="00A25034"/>
    <w:rsid w:val="00A274C2"/>
    <w:rsid w:val="00A46599"/>
    <w:rsid w:val="00A62280"/>
    <w:rsid w:val="00AC08AA"/>
    <w:rsid w:val="00AE6C42"/>
    <w:rsid w:val="00AF069A"/>
    <w:rsid w:val="00AF4E4E"/>
    <w:rsid w:val="00B456FF"/>
    <w:rsid w:val="00B77B07"/>
    <w:rsid w:val="00BD2BC3"/>
    <w:rsid w:val="00C255F3"/>
    <w:rsid w:val="00C903D0"/>
    <w:rsid w:val="00C9188D"/>
    <w:rsid w:val="00CC6D5A"/>
    <w:rsid w:val="00CE0011"/>
    <w:rsid w:val="00D1350F"/>
    <w:rsid w:val="00D80951"/>
    <w:rsid w:val="00D93F39"/>
    <w:rsid w:val="00DA480C"/>
    <w:rsid w:val="00DE761F"/>
    <w:rsid w:val="00E152C5"/>
    <w:rsid w:val="00E6053B"/>
    <w:rsid w:val="00EC44A2"/>
    <w:rsid w:val="00ED4976"/>
    <w:rsid w:val="00F05068"/>
    <w:rsid w:val="00F074EC"/>
    <w:rsid w:val="00F20F9D"/>
    <w:rsid w:val="00F8025C"/>
    <w:rsid w:val="00F93AF6"/>
    <w:rsid w:val="00FC3195"/>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C2C4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imes New Roman" w:hAnsiTheme="minorHAnsi" w:cstheme="minorBidi"/>
        <w:sz w:val="22"/>
        <w:szCs w:val="22"/>
        <w:lang w:val="ru-RU"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lsdException w:name="heading 4" w:uiPriority="0"/>
    <w:lsdException w:name="heading 5" w:uiPriority="0" w:qFormat="1"/>
    <w:lsdException w:name="heading 6" w:uiPriority="9"/>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0"/>
    <w:lsdException w:name="Body Text" w:uiPriority="0"/>
    <w:lsdException w:name="Subtitle" w:uiPriority="11"/>
    <w:lsdException w:name="Strong" w:semiHidden="0" w:uiPriority="22" w:unhideWhenUsed="0"/>
    <w:lsdException w:name="Emphasis" w:semiHidden="0" w:uiPriority="20" w:unhideWhenUsed="0"/>
    <w:lsdException w:name="No List" w:uiPriority="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qFormat="1"/>
    <w:lsdException w:name="TOC Heading" w:uiPriority="39" w:qFormat="1"/>
  </w:latentStyles>
  <w:style w:type="paragraph" w:default="1" w:styleId="a2">
    <w:name w:val="Normal"/>
    <w:qFormat/>
    <w:rsid w:val="00CE0011"/>
    <w:pPr>
      <w:suppressAutoHyphens/>
      <w:spacing w:after="0" w:line="240" w:lineRule="auto"/>
    </w:pPr>
    <w:rPr>
      <w:rFonts w:ascii="Times New Roman" w:hAnsi="Times New Roman" w:cs="Times New Roman"/>
      <w:sz w:val="20"/>
      <w:szCs w:val="20"/>
      <w:lang w:eastAsia="en-US"/>
    </w:rPr>
  </w:style>
  <w:style w:type="paragraph" w:styleId="1">
    <w:name w:val="heading 1"/>
    <w:basedOn w:val="a2"/>
    <w:next w:val="a3"/>
    <w:link w:val="10"/>
    <w:qFormat/>
    <w:rsid w:val="00CE0011"/>
    <w:pPr>
      <w:keepNext/>
      <w:keepLines/>
      <w:numPr>
        <w:numId w:val="44"/>
      </w:numPr>
      <w:tabs>
        <w:tab w:val="left" w:pos="425"/>
      </w:tabs>
      <w:suppressAutoHyphens w:val="0"/>
      <w:spacing w:before="160" w:after="80"/>
      <w:jc w:val="center"/>
      <w:outlineLvl w:val="0"/>
    </w:pPr>
    <w:rPr>
      <w:rFonts w:eastAsia="SimSun"/>
      <w:smallCaps/>
      <w:noProof/>
    </w:rPr>
  </w:style>
  <w:style w:type="paragraph" w:styleId="2">
    <w:name w:val="heading 2"/>
    <w:basedOn w:val="a2"/>
    <w:next w:val="a2"/>
    <w:link w:val="20"/>
    <w:qFormat/>
    <w:rsid w:val="00CE0011"/>
    <w:pPr>
      <w:keepNext/>
      <w:keepLines/>
      <w:numPr>
        <w:ilvl w:val="1"/>
        <w:numId w:val="44"/>
      </w:numPr>
      <w:suppressAutoHyphens w:val="0"/>
      <w:spacing w:before="120" w:after="60"/>
      <w:outlineLvl w:val="1"/>
    </w:pPr>
    <w:rPr>
      <w:rFonts w:eastAsia="SimSun"/>
      <w:i/>
      <w:iCs/>
      <w:noProof/>
    </w:rPr>
  </w:style>
  <w:style w:type="paragraph" w:styleId="3">
    <w:name w:val="heading 3"/>
    <w:basedOn w:val="a2"/>
    <w:next w:val="a2"/>
    <w:link w:val="30"/>
    <w:uiPriority w:val="1"/>
    <w:semiHidden/>
    <w:rsid w:val="00CE0011"/>
    <w:pPr>
      <w:numPr>
        <w:ilvl w:val="2"/>
        <w:numId w:val="44"/>
      </w:numPr>
      <w:tabs>
        <w:tab w:val="left" w:pos="720"/>
      </w:tabs>
      <w:suppressAutoHyphens w:val="0"/>
      <w:spacing w:after="60"/>
      <w:jc w:val="both"/>
      <w:outlineLvl w:val="2"/>
    </w:pPr>
    <w:rPr>
      <w:rFonts w:eastAsia="SimSun"/>
      <w:i/>
      <w:iCs/>
      <w:noProof/>
    </w:rPr>
  </w:style>
  <w:style w:type="paragraph" w:styleId="4">
    <w:name w:val="heading 4"/>
    <w:basedOn w:val="a2"/>
    <w:next w:val="a2"/>
    <w:link w:val="40"/>
    <w:uiPriority w:val="1"/>
    <w:semiHidden/>
    <w:rsid w:val="00CE0011"/>
    <w:pPr>
      <w:numPr>
        <w:ilvl w:val="3"/>
        <w:numId w:val="44"/>
      </w:numPr>
      <w:tabs>
        <w:tab w:val="left" w:pos="720"/>
      </w:tabs>
      <w:suppressAutoHyphens w:val="0"/>
      <w:spacing w:before="40" w:after="40"/>
      <w:jc w:val="both"/>
      <w:outlineLvl w:val="3"/>
    </w:pPr>
    <w:rPr>
      <w:rFonts w:eastAsia="SimSun"/>
      <w:i/>
      <w:iCs/>
      <w:noProof/>
    </w:rPr>
  </w:style>
  <w:style w:type="paragraph" w:styleId="5">
    <w:name w:val="heading 5"/>
    <w:basedOn w:val="a2"/>
    <w:next w:val="a2"/>
    <w:link w:val="50"/>
    <w:qFormat/>
    <w:rsid w:val="00CE0011"/>
    <w:pPr>
      <w:tabs>
        <w:tab w:val="left" w:pos="360"/>
      </w:tabs>
      <w:suppressAutoHyphens w:val="0"/>
      <w:spacing w:before="160" w:after="80"/>
      <w:jc w:val="center"/>
      <w:outlineLvl w:val="4"/>
    </w:pPr>
    <w:rPr>
      <w:rFonts w:eastAsia="SimSun"/>
      <w:smallCaps/>
      <w:noProof/>
    </w:rPr>
  </w:style>
  <w:style w:type="paragraph" w:styleId="6">
    <w:name w:val="heading 6"/>
    <w:basedOn w:val="a2"/>
    <w:next w:val="a2"/>
    <w:link w:val="60"/>
    <w:uiPriority w:val="9"/>
    <w:semiHidden/>
    <w:unhideWhenUsed/>
    <w:rsid w:val="00CE0011"/>
    <w:pPr>
      <w:keepNext/>
      <w:keepLines/>
      <w:spacing w:before="200"/>
      <w:outlineLvl w:val="5"/>
    </w:pPr>
    <w:rPr>
      <w:rFonts w:eastAsiaTheme="majorEastAsia" w:cstheme="majorBidi"/>
      <w:i/>
      <w:iCs/>
      <w:color w:val="000000" w:themeColor="text1"/>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styleId="a7">
    <w:name w:val="Title"/>
    <w:basedOn w:val="a2"/>
    <w:next w:val="a2"/>
    <w:link w:val="a8"/>
    <w:qFormat/>
    <w:rsid w:val="00CE0011"/>
    <w:pPr>
      <w:spacing w:before="120" w:after="120"/>
      <w:contextualSpacing/>
      <w:jc w:val="center"/>
    </w:pPr>
    <w:rPr>
      <w:rFonts w:eastAsiaTheme="majorEastAsia" w:cstheme="majorBidi"/>
      <w:color w:val="000000" w:themeColor="text1"/>
      <w:kern w:val="28"/>
      <w:sz w:val="48"/>
      <w:szCs w:val="52"/>
    </w:rPr>
  </w:style>
  <w:style w:type="character" w:customStyle="1" w:styleId="a8">
    <w:name w:val="Название Знак"/>
    <w:basedOn w:val="a4"/>
    <w:link w:val="a7"/>
    <w:rsid w:val="00CE0011"/>
    <w:rPr>
      <w:rFonts w:ascii="Times New Roman" w:eastAsiaTheme="majorEastAsia" w:hAnsi="Times New Roman" w:cstheme="majorBidi"/>
      <w:color w:val="000000" w:themeColor="text1"/>
      <w:kern w:val="28"/>
      <w:sz w:val="48"/>
      <w:szCs w:val="52"/>
      <w:lang w:eastAsia="en-US"/>
    </w:rPr>
  </w:style>
  <w:style w:type="paragraph" w:styleId="a3">
    <w:name w:val="Body Text"/>
    <w:basedOn w:val="a2"/>
    <w:link w:val="a9"/>
    <w:rsid w:val="00CE0011"/>
    <w:pPr>
      <w:tabs>
        <w:tab w:val="left" w:pos="288"/>
      </w:tabs>
      <w:spacing w:after="120" w:line="228" w:lineRule="auto"/>
      <w:ind w:firstLine="289"/>
      <w:jc w:val="both"/>
    </w:pPr>
    <w:rPr>
      <w:rFonts w:eastAsia="MS Mincho"/>
      <w:spacing w:val="-1"/>
    </w:rPr>
  </w:style>
  <w:style w:type="character" w:customStyle="1" w:styleId="a9">
    <w:name w:val="Основной текст Знак"/>
    <w:link w:val="a3"/>
    <w:rsid w:val="00CE0011"/>
    <w:rPr>
      <w:rFonts w:ascii="Times New Roman" w:eastAsia="MS Mincho" w:hAnsi="Times New Roman" w:cs="Times New Roman"/>
      <w:spacing w:val="-1"/>
      <w:sz w:val="20"/>
      <w:szCs w:val="20"/>
      <w:lang w:eastAsia="en-US"/>
    </w:rPr>
  </w:style>
  <w:style w:type="paragraph" w:customStyle="1" w:styleId="aa">
    <w:name w:val="Авторы"/>
    <w:basedOn w:val="a2"/>
    <w:next w:val="ab"/>
    <w:qFormat/>
    <w:rsid w:val="00CE0011"/>
    <w:pPr>
      <w:spacing w:before="240" w:after="120"/>
      <w:jc w:val="center"/>
    </w:pPr>
    <w:rPr>
      <w:sz w:val="24"/>
    </w:rPr>
  </w:style>
  <w:style w:type="paragraph" w:customStyle="1" w:styleId="ab">
    <w:name w:val="Организация"/>
    <w:basedOn w:val="a2"/>
    <w:qFormat/>
    <w:rsid w:val="00CE0011"/>
    <w:pPr>
      <w:spacing w:after="120"/>
      <w:jc w:val="center"/>
    </w:pPr>
    <w:rPr>
      <w:i/>
    </w:rPr>
  </w:style>
  <w:style w:type="paragraph" w:customStyle="1" w:styleId="ac">
    <w:name w:val="Мэйл"/>
    <w:basedOn w:val="a2"/>
    <w:qFormat/>
    <w:rsid w:val="00CE0011"/>
    <w:pPr>
      <w:spacing w:after="120"/>
      <w:jc w:val="center"/>
    </w:pPr>
    <w:rPr>
      <w:lang w:val="en-US"/>
    </w:rPr>
  </w:style>
  <w:style w:type="paragraph" w:customStyle="1" w:styleId="ad">
    <w:name w:val="Аннотация"/>
    <w:basedOn w:val="ab"/>
    <w:qFormat/>
    <w:rsid w:val="00CE0011"/>
    <w:pPr>
      <w:ind w:firstLine="289"/>
      <w:jc w:val="both"/>
    </w:pPr>
    <w:rPr>
      <w:b/>
      <w:i w:val="0"/>
      <w:sz w:val="18"/>
    </w:rPr>
  </w:style>
  <w:style w:type="character" w:customStyle="1" w:styleId="10">
    <w:name w:val="Заголовок 1 Знак"/>
    <w:link w:val="1"/>
    <w:rsid w:val="00CE0011"/>
    <w:rPr>
      <w:rFonts w:ascii="Times New Roman" w:eastAsia="SimSun" w:hAnsi="Times New Roman" w:cs="Times New Roman"/>
      <w:smallCaps/>
      <w:noProof/>
      <w:sz w:val="20"/>
      <w:szCs w:val="20"/>
      <w:lang w:eastAsia="en-US"/>
    </w:rPr>
  </w:style>
  <w:style w:type="character" w:customStyle="1" w:styleId="20">
    <w:name w:val="Заголовок 2 Знак"/>
    <w:basedOn w:val="a4"/>
    <w:link w:val="2"/>
    <w:rsid w:val="00CE0011"/>
    <w:rPr>
      <w:rFonts w:ascii="Times New Roman" w:eastAsia="SimSun" w:hAnsi="Times New Roman" w:cs="Times New Roman"/>
      <w:i/>
      <w:iCs/>
      <w:noProof/>
      <w:sz w:val="20"/>
      <w:szCs w:val="20"/>
      <w:lang w:eastAsia="en-US"/>
    </w:rPr>
  </w:style>
  <w:style w:type="character" w:customStyle="1" w:styleId="30">
    <w:name w:val="Заголовок 3 Знак"/>
    <w:basedOn w:val="a4"/>
    <w:link w:val="3"/>
    <w:uiPriority w:val="1"/>
    <w:semiHidden/>
    <w:rsid w:val="00CE0011"/>
    <w:rPr>
      <w:rFonts w:ascii="Times New Roman" w:eastAsia="SimSun" w:hAnsi="Times New Roman" w:cs="Times New Roman"/>
      <w:i/>
      <w:iCs/>
      <w:noProof/>
      <w:sz w:val="20"/>
      <w:szCs w:val="20"/>
      <w:lang w:eastAsia="en-US"/>
    </w:rPr>
  </w:style>
  <w:style w:type="character" w:customStyle="1" w:styleId="40">
    <w:name w:val="Заголовок 4 Знак"/>
    <w:basedOn w:val="a4"/>
    <w:link w:val="4"/>
    <w:uiPriority w:val="1"/>
    <w:semiHidden/>
    <w:rsid w:val="00CE0011"/>
    <w:rPr>
      <w:rFonts w:ascii="Times New Roman" w:eastAsia="SimSun" w:hAnsi="Times New Roman" w:cs="Times New Roman"/>
      <w:i/>
      <w:iCs/>
      <w:noProof/>
      <w:sz w:val="20"/>
      <w:szCs w:val="20"/>
      <w:lang w:eastAsia="en-US"/>
    </w:rPr>
  </w:style>
  <w:style w:type="character" w:customStyle="1" w:styleId="50">
    <w:name w:val="Заголовок 5 Знак"/>
    <w:basedOn w:val="a4"/>
    <w:link w:val="5"/>
    <w:rsid w:val="00CE0011"/>
    <w:rPr>
      <w:rFonts w:ascii="Times New Roman" w:eastAsia="SimSun" w:hAnsi="Times New Roman" w:cs="Times New Roman"/>
      <w:smallCaps/>
      <w:noProof/>
      <w:sz w:val="20"/>
      <w:szCs w:val="20"/>
      <w:lang w:eastAsia="en-US"/>
    </w:rPr>
  </w:style>
  <w:style w:type="paragraph" w:customStyle="1" w:styleId="ae">
    <w:name w:val="Ключевые слова"/>
    <w:basedOn w:val="a2"/>
    <w:next w:val="1"/>
    <w:qFormat/>
    <w:rsid w:val="00CE0011"/>
    <w:pPr>
      <w:spacing w:after="200"/>
      <w:ind w:firstLine="289"/>
      <w:jc w:val="both"/>
    </w:pPr>
    <w:rPr>
      <w:b/>
      <w:i/>
      <w:sz w:val="18"/>
    </w:rPr>
  </w:style>
  <w:style w:type="character" w:customStyle="1" w:styleId="60">
    <w:name w:val="Заголовок 6 Знак"/>
    <w:basedOn w:val="a4"/>
    <w:link w:val="6"/>
    <w:uiPriority w:val="9"/>
    <w:semiHidden/>
    <w:rsid w:val="00CE0011"/>
    <w:rPr>
      <w:rFonts w:ascii="Times New Roman" w:eastAsiaTheme="majorEastAsia" w:hAnsi="Times New Roman" w:cstheme="majorBidi"/>
      <w:i/>
      <w:iCs/>
      <w:color w:val="000000" w:themeColor="text1"/>
      <w:sz w:val="20"/>
      <w:szCs w:val="20"/>
      <w:lang w:eastAsia="en-US"/>
    </w:rPr>
  </w:style>
  <w:style w:type="paragraph" w:customStyle="1" w:styleId="af">
    <w:name w:val="Финансирование"/>
    <w:basedOn w:val="a2"/>
    <w:qFormat/>
    <w:rsid w:val="00CE0011"/>
    <w:pPr>
      <w:framePr w:w="4876" w:wrap="notBeside" w:hAnchor="margin" w:yAlign="bottom"/>
      <w:pBdr>
        <w:top w:val="single" w:sz="8" w:space="3" w:color="auto"/>
      </w:pBdr>
      <w:ind w:firstLine="289"/>
    </w:pPr>
    <w:rPr>
      <w:sz w:val="16"/>
    </w:rPr>
  </w:style>
  <w:style w:type="paragraph" w:customStyle="1" w:styleId="-">
    <w:name w:val="Список-перечень"/>
    <w:basedOn w:val="a3"/>
    <w:next w:val="a3"/>
    <w:qFormat/>
    <w:rsid w:val="00A62280"/>
    <w:pPr>
      <w:numPr>
        <w:numId w:val="47"/>
      </w:numPr>
      <w:tabs>
        <w:tab w:val="clear" w:pos="288"/>
        <w:tab w:val="left" w:pos="709"/>
      </w:tabs>
      <w:spacing w:after="60"/>
      <w:ind w:left="714" w:hanging="357"/>
    </w:pPr>
  </w:style>
  <w:style w:type="paragraph" w:customStyle="1" w:styleId="a">
    <w:name w:val="Название рисунка"/>
    <w:basedOn w:val="a2"/>
    <w:qFormat/>
    <w:rsid w:val="00CE0011"/>
    <w:pPr>
      <w:numPr>
        <w:numId w:val="45"/>
      </w:numPr>
      <w:tabs>
        <w:tab w:val="left" w:pos="289"/>
      </w:tabs>
      <w:spacing w:before="120" w:after="200"/>
    </w:pPr>
    <w:rPr>
      <w:sz w:val="16"/>
    </w:rPr>
  </w:style>
  <w:style w:type="paragraph" w:customStyle="1" w:styleId="a1">
    <w:name w:val="Таблица"/>
    <w:basedOn w:val="a2"/>
    <w:next w:val="a2"/>
    <w:qFormat/>
    <w:rsid w:val="00A62280"/>
    <w:pPr>
      <w:numPr>
        <w:numId w:val="48"/>
      </w:numPr>
      <w:tabs>
        <w:tab w:val="left" w:pos="567"/>
      </w:tabs>
      <w:spacing w:before="240" w:after="80"/>
      <w:ind w:left="714" w:hanging="357"/>
      <w:jc w:val="center"/>
    </w:pPr>
    <w:rPr>
      <w:smallCaps/>
      <w:sz w:val="16"/>
    </w:rPr>
  </w:style>
  <w:style w:type="table" w:styleId="af0">
    <w:name w:val="Table Grid"/>
    <w:basedOn w:val="a5"/>
    <w:uiPriority w:val="59"/>
    <w:rsid w:val="00CE001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1">
    <w:name w:val="Строка таблицы"/>
    <w:basedOn w:val="a2"/>
    <w:qFormat/>
    <w:rsid w:val="00CE0011"/>
    <w:pPr>
      <w:tabs>
        <w:tab w:val="left" w:pos="1021"/>
      </w:tabs>
    </w:pPr>
    <w:rPr>
      <w:sz w:val="16"/>
    </w:rPr>
  </w:style>
  <w:style w:type="paragraph" w:styleId="a0">
    <w:name w:val="Bibliography"/>
    <w:basedOn w:val="a3"/>
    <w:next w:val="a2"/>
    <w:qFormat/>
    <w:rsid w:val="00A62280"/>
    <w:pPr>
      <w:numPr>
        <w:numId w:val="50"/>
      </w:numPr>
      <w:tabs>
        <w:tab w:val="clear" w:pos="288"/>
        <w:tab w:val="left" w:pos="357"/>
      </w:tabs>
      <w:spacing w:after="50" w:line="180" w:lineRule="exact"/>
    </w:pPr>
    <w:rPr>
      <w:spacing w:val="0"/>
      <w:sz w:val="16"/>
    </w:rPr>
  </w:style>
  <w:style w:type="paragraph" w:customStyle="1" w:styleId="s-annot">
    <w:name w:val="_s-annot"/>
    <w:basedOn w:val="a2"/>
    <w:qFormat/>
    <w:rsid w:val="00696080"/>
    <w:pPr>
      <w:widowControl w:val="0"/>
      <w:tabs>
        <w:tab w:val="right" w:pos="9923"/>
      </w:tabs>
      <w:suppressAutoHyphens w:val="0"/>
      <w:spacing w:line="247" w:lineRule="auto"/>
      <w:ind w:left="454"/>
      <w:contextualSpacing/>
      <w:jc w:val="both"/>
      <w:outlineLvl w:val="6"/>
    </w:pPr>
    <w:rPr>
      <w:rFonts w:ascii="Tahoma" w:hAnsi="Tahoma" w:cs="Tahoma"/>
      <w:sz w:val="16"/>
      <w:szCs w:val="16"/>
      <w:lang w:eastAsia="ru-RU"/>
      <w14:ligatures w14:val="standardContextual"/>
    </w:rPr>
  </w:style>
  <w:style w:type="paragraph" w:customStyle="1" w:styleId="s-annot-z">
    <w:name w:val="_s-annot-z"/>
    <w:basedOn w:val="s-annot"/>
    <w:qFormat/>
    <w:rsid w:val="00696080"/>
    <w:pPr>
      <w:pBdr>
        <w:top w:val="single" w:sz="18" w:space="2" w:color="auto"/>
      </w:pBdr>
      <w:spacing w:after="60"/>
      <w:ind w:left="0" w:right="7655"/>
    </w:pPr>
    <w:rPr>
      <w:b/>
    </w:rPr>
  </w:style>
  <w:style w:type="paragraph" w:customStyle="1" w:styleId="s-avtor">
    <w:name w:val="_s-avtor"/>
    <w:basedOn w:val="a2"/>
    <w:qFormat/>
    <w:rsid w:val="00696080"/>
    <w:pPr>
      <w:tabs>
        <w:tab w:val="right" w:pos="9923"/>
      </w:tabs>
      <w:spacing w:after="120" w:line="247" w:lineRule="auto"/>
      <w:ind w:left="454"/>
      <w:contextualSpacing/>
      <w:outlineLvl w:val="0"/>
    </w:pPr>
    <w:rPr>
      <w:rFonts w:ascii="Tahoma" w:hAnsi="Tahoma" w:cs="Tahoma"/>
      <w:sz w:val="18"/>
      <w:szCs w:val="16"/>
      <w:lang w:eastAsia="ru-RU"/>
      <w14:ligatures w14:val="standardContextual"/>
    </w:rPr>
  </w:style>
  <w:style w:type="paragraph" w:customStyle="1" w:styleId="s-citir">
    <w:name w:val="_s-citir"/>
    <w:basedOn w:val="a2"/>
    <w:qFormat/>
    <w:rsid w:val="00696080"/>
    <w:pPr>
      <w:tabs>
        <w:tab w:val="right" w:pos="9923"/>
      </w:tabs>
      <w:suppressAutoHyphens w:val="0"/>
      <w:spacing w:before="60" w:after="60" w:line="247" w:lineRule="auto"/>
      <w:ind w:left="454" w:firstLine="454"/>
      <w:contextualSpacing/>
      <w:jc w:val="both"/>
    </w:pPr>
    <w:rPr>
      <w:sz w:val="18"/>
      <w:lang w:eastAsia="ru-RU"/>
      <w14:ligatures w14:val="standardContextual"/>
    </w:rPr>
  </w:style>
  <w:style w:type="paragraph" w:customStyle="1" w:styleId="s-date">
    <w:name w:val="_s-date"/>
    <w:basedOn w:val="a2"/>
    <w:qFormat/>
    <w:rsid w:val="00696080"/>
    <w:pPr>
      <w:tabs>
        <w:tab w:val="right" w:pos="9923"/>
      </w:tabs>
      <w:suppressAutoHyphens w:val="0"/>
      <w:spacing w:before="120" w:line="247" w:lineRule="auto"/>
      <w:jc w:val="both"/>
      <w:outlineLvl w:val="3"/>
    </w:pPr>
    <w:rPr>
      <w:b/>
      <w:bCs/>
      <w:lang w:eastAsia="ru-RU"/>
      <w14:ligatures w14:val="standardContextual"/>
    </w:rPr>
  </w:style>
  <w:style w:type="paragraph" w:customStyle="1" w:styleId="s-kw">
    <w:name w:val="_s-kw"/>
    <w:basedOn w:val="a2"/>
    <w:qFormat/>
    <w:rsid w:val="00696080"/>
    <w:pPr>
      <w:tabs>
        <w:tab w:val="right" w:pos="9923"/>
      </w:tabs>
      <w:suppressAutoHyphens w:val="0"/>
      <w:spacing w:after="240" w:line="247" w:lineRule="auto"/>
      <w:ind w:left="454"/>
      <w:contextualSpacing/>
      <w:jc w:val="both"/>
      <w:outlineLvl w:val="6"/>
    </w:pPr>
    <w:rPr>
      <w:rFonts w:ascii="Tahoma" w:hAnsi="Tahoma" w:cs="Tahoma"/>
      <w:i/>
      <w:sz w:val="16"/>
      <w:szCs w:val="16"/>
      <w:lang w:eastAsia="ru-RU"/>
      <w14:ligatures w14:val="standardContextual"/>
    </w:rPr>
  </w:style>
  <w:style w:type="paragraph" w:customStyle="1" w:styleId="s-kw-z">
    <w:name w:val="_s-kw-z"/>
    <w:basedOn w:val="s-kw"/>
    <w:qFormat/>
    <w:rsid w:val="00696080"/>
    <w:pPr>
      <w:spacing w:before="60" w:after="0"/>
      <w:ind w:left="0"/>
    </w:pPr>
    <w:rPr>
      <w:b/>
    </w:rPr>
  </w:style>
  <w:style w:type="paragraph" w:customStyle="1" w:styleId="s-lit1-z">
    <w:name w:val="_s-lit1-z"/>
    <w:basedOn w:val="a2"/>
    <w:qFormat/>
    <w:rsid w:val="00696080"/>
    <w:pPr>
      <w:keepNext/>
      <w:tabs>
        <w:tab w:val="right" w:pos="9923"/>
      </w:tabs>
      <w:suppressAutoHyphens w:val="0"/>
      <w:spacing w:before="240" w:after="120" w:line="247" w:lineRule="auto"/>
      <w:jc w:val="both"/>
      <w:outlineLvl w:val="6"/>
    </w:pPr>
    <w:rPr>
      <w:b/>
      <w:sz w:val="22"/>
      <w:lang w:eastAsia="ru-RU"/>
      <w14:ligatures w14:val="standardContextual"/>
    </w:rPr>
  </w:style>
  <w:style w:type="paragraph" w:customStyle="1" w:styleId="16">
    <w:name w:val="Стиль16"/>
    <w:basedOn w:val="a2"/>
    <w:qFormat/>
    <w:rsid w:val="00696080"/>
    <w:pPr>
      <w:tabs>
        <w:tab w:val="right" w:pos="9072"/>
      </w:tabs>
      <w:suppressAutoHyphens w:val="0"/>
      <w:spacing w:line="247" w:lineRule="auto"/>
      <w:ind w:left="454" w:firstLine="454"/>
      <w:jc w:val="both"/>
    </w:pPr>
    <w:rPr>
      <w:rFonts w:ascii="Tahoma" w:hAnsi="Tahoma" w:cs="Tahoma"/>
      <w:i/>
      <w:color w:val="000000"/>
      <w:sz w:val="16"/>
      <w:szCs w:val="16"/>
      <w:lang w:eastAsia="ru-RU"/>
      <w14:ligatures w14:val="standardContextual"/>
    </w:rPr>
  </w:style>
  <w:style w:type="paragraph" w:customStyle="1" w:styleId="references">
    <w:name w:val="references"/>
    <w:rsid w:val="00696080"/>
    <w:pPr>
      <w:tabs>
        <w:tab w:val="num" w:pos="360"/>
      </w:tabs>
      <w:spacing w:after="50" w:line="180" w:lineRule="exact"/>
      <w:jc w:val="both"/>
    </w:pPr>
    <w:rPr>
      <w:rFonts w:ascii="Times New Roman" w:eastAsia="MS Mincho" w:hAnsi="Times New Roman" w:cs="Times New Roman"/>
      <w:noProof/>
      <w:sz w:val="16"/>
      <w:szCs w:val="16"/>
      <w:lang w:val="en-US" w:eastAsia="en-US"/>
      <w14:ligatures w14:val="standardContextual"/>
    </w:rPr>
  </w:style>
  <w:style w:type="character" w:styleId="af2">
    <w:name w:val="Hyperlink"/>
    <w:basedOn w:val="a4"/>
    <w:uiPriority w:val="99"/>
    <w:unhideWhenUsed/>
    <w:rsid w:val="008540C2"/>
    <w:rPr>
      <w:color w:val="0000FF" w:themeColor="hyperlink"/>
      <w:u w:val="single"/>
    </w:rPr>
  </w:style>
  <w:style w:type="character" w:customStyle="1" w:styleId="11">
    <w:name w:val="Неразрешенное упоминание1"/>
    <w:basedOn w:val="a4"/>
    <w:uiPriority w:val="99"/>
    <w:semiHidden/>
    <w:unhideWhenUsed/>
    <w:rsid w:val="008540C2"/>
    <w:rPr>
      <w:color w:val="605E5C"/>
      <w:shd w:val="clear" w:color="auto" w:fill="E1DFDD"/>
    </w:rPr>
  </w:style>
  <w:style w:type="paragraph" w:customStyle="1" w:styleId="ds-markdown-paragraph">
    <w:name w:val="ds-markdown-paragraph"/>
    <w:basedOn w:val="a2"/>
    <w:rsid w:val="006C7749"/>
    <w:pPr>
      <w:suppressAutoHyphens w:val="0"/>
      <w:spacing w:before="100" w:beforeAutospacing="1" w:after="100" w:afterAutospacing="1"/>
    </w:pPr>
    <w:rPr>
      <w:sz w:val="24"/>
      <w:szCs w:val="24"/>
      <w:lang w:eastAsia="ru-RU"/>
    </w:rPr>
  </w:style>
  <w:style w:type="character" w:customStyle="1" w:styleId="UnresolvedMention">
    <w:name w:val="Unresolved Mention"/>
    <w:basedOn w:val="a4"/>
    <w:uiPriority w:val="99"/>
    <w:semiHidden/>
    <w:unhideWhenUsed/>
    <w:rsid w:val="00087840"/>
    <w:rPr>
      <w:color w:val="605E5C"/>
      <w:shd w:val="clear" w:color="auto" w:fill="E1DFDD"/>
    </w:rPr>
  </w:style>
  <w:style w:type="paragraph" w:styleId="af3">
    <w:name w:val="header"/>
    <w:basedOn w:val="a2"/>
    <w:link w:val="af4"/>
    <w:unhideWhenUsed/>
    <w:rsid w:val="001C10F0"/>
    <w:pPr>
      <w:tabs>
        <w:tab w:val="center" w:pos="4677"/>
        <w:tab w:val="right" w:pos="9355"/>
      </w:tabs>
    </w:pPr>
  </w:style>
  <w:style w:type="character" w:customStyle="1" w:styleId="af4">
    <w:name w:val="Верхний колонтитул Знак"/>
    <w:basedOn w:val="a4"/>
    <w:link w:val="af3"/>
    <w:rsid w:val="001C10F0"/>
    <w:rPr>
      <w:rFonts w:ascii="Times New Roman" w:hAnsi="Times New Roman" w:cs="Times New Roman"/>
      <w:sz w:val="20"/>
      <w:szCs w:val="20"/>
      <w:lang w:eastAsia="en-US"/>
    </w:rPr>
  </w:style>
  <w:style w:type="paragraph" w:styleId="af5">
    <w:name w:val="footer"/>
    <w:basedOn w:val="a2"/>
    <w:link w:val="af6"/>
    <w:uiPriority w:val="99"/>
    <w:unhideWhenUsed/>
    <w:rsid w:val="001C10F0"/>
    <w:pPr>
      <w:tabs>
        <w:tab w:val="center" w:pos="4677"/>
        <w:tab w:val="right" w:pos="9355"/>
      </w:tabs>
    </w:pPr>
  </w:style>
  <w:style w:type="character" w:customStyle="1" w:styleId="af6">
    <w:name w:val="Нижний колонтитул Знак"/>
    <w:basedOn w:val="a4"/>
    <w:link w:val="af5"/>
    <w:uiPriority w:val="99"/>
    <w:rsid w:val="001C10F0"/>
    <w:rPr>
      <w:rFonts w:ascii="Times New Roman" w:hAnsi="Times New Roman" w:cs="Times New Roman"/>
      <w:sz w:val="20"/>
      <w:szCs w:val="20"/>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imes New Roman" w:hAnsiTheme="minorHAnsi" w:cstheme="minorBidi"/>
        <w:sz w:val="22"/>
        <w:szCs w:val="22"/>
        <w:lang w:val="ru-RU"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lsdException w:name="heading 4" w:uiPriority="0"/>
    <w:lsdException w:name="heading 5" w:uiPriority="0" w:qFormat="1"/>
    <w:lsdException w:name="heading 6" w:uiPriority="9"/>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0"/>
    <w:lsdException w:name="Body Text" w:uiPriority="0"/>
    <w:lsdException w:name="Subtitle" w:uiPriority="11"/>
    <w:lsdException w:name="Strong" w:semiHidden="0" w:uiPriority="22" w:unhideWhenUsed="0"/>
    <w:lsdException w:name="Emphasis" w:semiHidden="0" w:uiPriority="20" w:unhideWhenUsed="0"/>
    <w:lsdException w:name="No List" w:uiPriority="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qFormat="1"/>
    <w:lsdException w:name="TOC Heading" w:uiPriority="39" w:qFormat="1"/>
  </w:latentStyles>
  <w:style w:type="paragraph" w:default="1" w:styleId="a2">
    <w:name w:val="Normal"/>
    <w:qFormat/>
    <w:rsid w:val="00CE0011"/>
    <w:pPr>
      <w:suppressAutoHyphens/>
      <w:spacing w:after="0" w:line="240" w:lineRule="auto"/>
    </w:pPr>
    <w:rPr>
      <w:rFonts w:ascii="Times New Roman" w:hAnsi="Times New Roman" w:cs="Times New Roman"/>
      <w:sz w:val="20"/>
      <w:szCs w:val="20"/>
      <w:lang w:eastAsia="en-US"/>
    </w:rPr>
  </w:style>
  <w:style w:type="paragraph" w:styleId="1">
    <w:name w:val="heading 1"/>
    <w:basedOn w:val="a2"/>
    <w:next w:val="a3"/>
    <w:link w:val="10"/>
    <w:qFormat/>
    <w:rsid w:val="00CE0011"/>
    <w:pPr>
      <w:keepNext/>
      <w:keepLines/>
      <w:numPr>
        <w:numId w:val="44"/>
      </w:numPr>
      <w:tabs>
        <w:tab w:val="left" w:pos="425"/>
      </w:tabs>
      <w:suppressAutoHyphens w:val="0"/>
      <w:spacing w:before="160" w:after="80"/>
      <w:jc w:val="center"/>
      <w:outlineLvl w:val="0"/>
    </w:pPr>
    <w:rPr>
      <w:rFonts w:eastAsia="SimSun"/>
      <w:smallCaps/>
      <w:noProof/>
    </w:rPr>
  </w:style>
  <w:style w:type="paragraph" w:styleId="2">
    <w:name w:val="heading 2"/>
    <w:basedOn w:val="a2"/>
    <w:next w:val="a2"/>
    <w:link w:val="20"/>
    <w:qFormat/>
    <w:rsid w:val="00CE0011"/>
    <w:pPr>
      <w:keepNext/>
      <w:keepLines/>
      <w:numPr>
        <w:ilvl w:val="1"/>
        <w:numId w:val="44"/>
      </w:numPr>
      <w:suppressAutoHyphens w:val="0"/>
      <w:spacing w:before="120" w:after="60"/>
      <w:outlineLvl w:val="1"/>
    </w:pPr>
    <w:rPr>
      <w:rFonts w:eastAsia="SimSun"/>
      <w:i/>
      <w:iCs/>
      <w:noProof/>
    </w:rPr>
  </w:style>
  <w:style w:type="paragraph" w:styleId="3">
    <w:name w:val="heading 3"/>
    <w:basedOn w:val="a2"/>
    <w:next w:val="a2"/>
    <w:link w:val="30"/>
    <w:uiPriority w:val="1"/>
    <w:semiHidden/>
    <w:rsid w:val="00CE0011"/>
    <w:pPr>
      <w:numPr>
        <w:ilvl w:val="2"/>
        <w:numId w:val="44"/>
      </w:numPr>
      <w:tabs>
        <w:tab w:val="left" w:pos="720"/>
      </w:tabs>
      <w:suppressAutoHyphens w:val="0"/>
      <w:spacing w:after="60"/>
      <w:jc w:val="both"/>
      <w:outlineLvl w:val="2"/>
    </w:pPr>
    <w:rPr>
      <w:rFonts w:eastAsia="SimSun"/>
      <w:i/>
      <w:iCs/>
      <w:noProof/>
    </w:rPr>
  </w:style>
  <w:style w:type="paragraph" w:styleId="4">
    <w:name w:val="heading 4"/>
    <w:basedOn w:val="a2"/>
    <w:next w:val="a2"/>
    <w:link w:val="40"/>
    <w:uiPriority w:val="1"/>
    <w:semiHidden/>
    <w:rsid w:val="00CE0011"/>
    <w:pPr>
      <w:numPr>
        <w:ilvl w:val="3"/>
        <w:numId w:val="44"/>
      </w:numPr>
      <w:tabs>
        <w:tab w:val="left" w:pos="720"/>
      </w:tabs>
      <w:suppressAutoHyphens w:val="0"/>
      <w:spacing w:before="40" w:after="40"/>
      <w:jc w:val="both"/>
      <w:outlineLvl w:val="3"/>
    </w:pPr>
    <w:rPr>
      <w:rFonts w:eastAsia="SimSun"/>
      <w:i/>
      <w:iCs/>
      <w:noProof/>
    </w:rPr>
  </w:style>
  <w:style w:type="paragraph" w:styleId="5">
    <w:name w:val="heading 5"/>
    <w:basedOn w:val="a2"/>
    <w:next w:val="a2"/>
    <w:link w:val="50"/>
    <w:qFormat/>
    <w:rsid w:val="00CE0011"/>
    <w:pPr>
      <w:tabs>
        <w:tab w:val="left" w:pos="360"/>
      </w:tabs>
      <w:suppressAutoHyphens w:val="0"/>
      <w:spacing w:before="160" w:after="80"/>
      <w:jc w:val="center"/>
      <w:outlineLvl w:val="4"/>
    </w:pPr>
    <w:rPr>
      <w:rFonts w:eastAsia="SimSun"/>
      <w:smallCaps/>
      <w:noProof/>
    </w:rPr>
  </w:style>
  <w:style w:type="paragraph" w:styleId="6">
    <w:name w:val="heading 6"/>
    <w:basedOn w:val="a2"/>
    <w:next w:val="a2"/>
    <w:link w:val="60"/>
    <w:uiPriority w:val="9"/>
    <w:semiHidden/>
    <w:unhideWhenUsed/>
    <w:rsid w:val="00CE0011"/>
    <w:pPr>
      <w:keepNext/>
      <w:keepLines/>
      <w:spacing w:before="200"/>
      <w:outlineLvl w:val="5"/>
    </w:pPr>
    <w:rPr>
      <w:rFonts w:eastAsiaTheme="majorEastAsia" w:cstheme="majorBidi"/>
      <w:i/>
      <w:iCs/>
      <w:color w:val="000000" w:themeColor="text1"/>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styleId="a7">
    <w:name w:val="Title"/>
    <w:basedOn w:val="a2"/>
    <w:next w:val="a2"/>
    <w:link w:val="a8"/>
    <w:qFormat/>
    <w:rsid w:val="00CE0011"/>
    <w:pPr>
      <w:spacing w:before="120" w:after="120"/>
      <w:contextualSpacing/>
      <w:jc w:val="center"/>
    </w:pPr>
    <w:rPr>
      <w:rFonts w:eastAsiaTheme="majorEastAsia" w:cstheme="majorBidi"/>
      <w:color w:val="000000" w:themeColor="text1"/>
      <w:kern w:val="28"/>
      <w:sz w:val="48"/>
      <w:szCs w:val="52"/>
    </w:rPr>
  </w:style>
  <w:style w:type="character" w:customStyle="1" w:styleId="a8">
    <w:name w:val="Название Знак"/>
    <w:basedOn w:val="a4"/>
    <w:link w:val="a7"/>
    <w:rsid w:val="00CE0011"/>
    <w:rPr>
      <w:rFonts w:ascii="Times New Roman" w:eastAsiaTheme="majorEastAsia" w:hAnsi="Times New Roman" w:cstheme="majorBidi"/>
      <w:color w:val="000000" w:themeColor="text1"/>
      <w:kern w:val="28"/>
      <w:sz w:val="48"/>
      <w:szCs w:val="52"/>
      <w:lang w:eastAsia="en-US"/>
    </w:rPr>
  </w:style>
  <w:style w:type="paragraph" w:styleId="a3">
    <w:name w:val="Body Text"/>
    <w:basedOn w:val="a2"/>
    <w:link w:val="a9"/>
    <w:rsid w:val="00CE0011"/>
    <w:pPr>
      <w:tabs>
        <w:tab w:val="left" w:pos="288"/>
      </w:tabs>
      <w:spacing w:after="120" w:line="228" w:lineRule="auto"/>
      <w:ind w:firstLine="289"/>
      <w:jc w:val="both"/>
    </w:pPr>
    <w:rPr>
      <w:rFonts w:eastAsia="MS Mincho"/>
      <w:spacing w:val="-1"/>
    </w:rPr>
  </w:style>
  <w:style w:type="character" w:customStyle="1" w:styleId="a9">
    <w:name w:val="Основной текст Знак"/>
    <w:link w:val="a3"/>
    <w:rsid w:val="00CE0011"/>
    <w:rPr>
      <w:rFonts w:ascii="Times New Roman" w:eastAsia="MS Mincho" w:hAnsi="Times New Roman" w:cs="Times New Roman"/>
      <w:spacing w:val="-1"/>
      <w:sz w:val="20"/>
      <w:szCs w:val="20"/>
      <w:lang w:eastAsia="en-US"/>
    </w:rPr>
  </w:style>
  <w:style w:type="paragraph" w:customStyle="1" w:styleId="aa">
    <w:name w:val="Авторы"/>
    <w:basedOn w:val="a2"/>
    <w:next w:val="ab"/>
    <w:qFormat/>
    <w:rsid w:val="00CE0011"/>
    <w:pPr>
      <w:spacing w:before="240" w:after="120"/>
      <w:jc w:val="center"/>
    </w:pPr>
    <w:rPr>
      <w:sz w:val="24"/>
    </w:rPr>
  </w:style>
  <w:style w:type="paragraph" w:customStyle="1" w:styleId="ab">
    <w:name w:val="Организация"/>
    <w:basedOn w:val="a2"/>
    <w:qFormat/>
    <w:rsid w:val="00CE0011"/>
    <w:pPr>
      <w:spacing w:after="120"/>
      <w:jc w:val="center"/>
    </w:pPr>
    <w:rPr>
      <w:i/>
    </w:rPr>
  </w:style>
  <w:style w:type="paragraph" w:customStyle="1" w:styleId="ac">
    <w:name w:val="Мэйл"/>
    <w:basedOn w:val="a2"/>
    <w:qFormat/>
    <w:rsid w:val="00CE0011"/>
    <w:pPr>
      <w:spacing w:after="120"/>
      <w:jc w:val="center"/>
    </w:pPr>
    <w:rPr>
      <w:lang w:val="en-US"/>
    </w:rPr>
  </w:style>
  <w:style w:type="paragraph" w:customStyle="1" w:styleId="ad">
    <w:name w:val="Аннотация"/>
    <w:basedOn w:val="ab"/>
    <w:qFormat/>
    <w:rsid w:val="00CE0011"/>
    <w:pPr>
      <w:ind w:firstLine="289"/>
      <w:jc w:val="both"/>
    </w:pPr>
    <w:rPr>
      <w:b/>
      <w:i w:val="0"/>
      <w:sz w:val="18"/>
    </w:rPr>
  </w:style>
  <w:style w:type="character" w:customStyle="1" w:styleId="10">
    <w:name w:val="Заголовок 1 Знак"/>
    <w:link w:val="1"/>
    <w:rsid w:val="00CE0011"/>
    <w:rPr>
      <w:rFonts w:ascii="Times New Roman" w:eastAsia="SimSun" w:hAnsi="Times New Roman" w:cs="Times New Roman"/>
      <w:smallCaps/>
      <w:noProof/>
      <w:sz w:val="20"/>
      <w:szCs w:val="20"/>
      <w:lang w:eastAsia="en-US"/>
    </w:rPr>
  </w:style>
  <w:style w:type="character" w:customStyle="1" w:styleId="20">
    <w:name w:val="Заголовок 2 Знак"/>
    <w:basedOn w:val="a4"/>
    <w:link w:val="2"/>
    <w:rsid w:val="00CE0011"/>
    <w:rPr>
      <w:rFonts w:ascii="Times New Roman" w:eastAsia="SimSun" w:hAnsi="Times New Roman" w:cs="Times New Roman"/>
      <w:i/>
      <w:iCs/>
      <w:noProof/>
      <w:sz w:val="20"/>
      <w:szCs w:val="20"/>
      <w:lang w:eastAsia="en-US"/>
    </w:rPr>
  </w:style>
  <w:style w:type="character" w:customStyle="1" w:styleId="30">
    <w:name w:val="Заголовок 3 Знак"/>
    <w:basedOn w:val="a4"/>
    <w:link w:val="3"/>
    <w:uiPriority w:val="1"/>
    <w:semiHidden/>
    <w:rsid w:val="00CE0011"/>
    <w:rPr>
      <w:rFonts w:ascii="Times New Roman" w:eastAsia="SimSun" w:hAnsi="Times New Roman" w:cs="Times New Roman"/>
      <w:i/>
      <w:iCs/>
      <w:noProof/>
      <w:sz w:val="20"/>
      <w:szCs w:val="20"/>
      <w:lang w:eastAsia="en-US"/>
    </w:rPr>
  </w:style>
  <w:style w:type="character" w:customStyle="1" w:styleId="40">
    <w:name w:val="Заголовок 4 Знак"/>
    <w:basedOn w:val="a4"/>
    <w:link w:val="4"/>
    <w:uiPriority w:val="1"/>
    <w:semiHidden/>
    <w:rsid w:val="00CE0011"/>
    <w:rPr>
      <w:rFonts w:ascii="Times New Roman" w:eastAsia="SimSun" w:hAnsi="Times New Roman" w:cs="Times New Roman"/>
      <w:i/>
      <w:iCs/>
      <w:noProof/>
      <w:sz w:val="20"/>
      <w:szCs w:val="20"/>
      <w:lang w:eastAsia="en-US"/>
    </w:rPr>
  </w:style>
  <w:style w:type="character" w:customStyle="1" w:styleId="50">
    <w:name w:val="Заголовок 5 Знак"/>
    <w:basedOn w:val="a4"/>
    <w:link w:val="5"/>
    <w:rsid w:val="00CE0011"/>
    <w:rPr>
      <w:rFonts w:ascii="Times New Roman" w:eastAsia="SimSun" w:hAnsi="Times New Roman" w:cs="Times New Roman"/>
      <w:smallCaps/>
      <w:noProof/>
      <w:sz w:val="20"/>
      <w:szCs w:val="20"/>
      <w:lang w:eastAsia="en-US"/>
    </w:rPr>
  </w:style>
  <w:style w:type="paragraph" w:customStyle="1" w:styleId="ae">
    <w:name w:val="Ключевые слова"/>
    <w:basedOn w:val="a2"/>
    <w:next w:val="1"/>
    <w:qFormat/>
    <w:rsid w:val="00CE0011"/>
    <w:pPr>
      <w:spacing w:after="200"/>
      <w:ind w:firstLine="289"/>
      <w:jc w:val="both"/>
    </w:pPr>
    <w:rPr>
      <w:b/>
      <w:i/>
      <w:sz w:val="18"/>
    </w:rPr>
  </w:style>
  <w:style w:type="character" w:customStyle="1" w:styleId="60">
    <w:name w:val="Заголовок 6 Знак"/>
    <w:basedOn w:val="a4"/>
    <w:link w:val="6"/>
    <w:uiPriority w:val="9"/>
    <w:semiHidden/>
    <w:rsid w:val="00CE0011"/>
    <w:rPr>
      <w:rFonts w:ascii="Times New Roman" w:eastAsiaTheme="majorEastAsia" w:hAnsi="Times New Roman" w:cstheme="majorBidi"/>
      <w:i/>
      <w:iCs/>
      <w:color w:val="000000" w:themeColor="text1"/>
      <w:sz w:val="20"/>
      <w:szCs w:val="20"/>
      <w:lang w:eastAsia="en-US"/>
    </w:rPr>
  </w:style>
  <w:style w:type="paragraph" w:customStyle="1" w:styleId="af">
    <w:name w:val="Финансирование"/>
    <w:basedOn w:val="a2"/>
    <w:qFormat/>
    <w:rsid w:val="00CE0011"/>
    <w:pPr>
      <w:framePr w:w="4876" w:wrap="notBeside" w:hAnchor="margin" w:yAlign="bottom"/>
      <w:pBdr>
        <w:top w:val="single" w:sz="8" w:space="3" w:color="auto"/>
      </w:pBdr>
      <w:ind w:firstLine="289"/>
    </w:pPr>
    <w:rPr>
      <w:sz w:val="16"/>
    </w:rPr>
  </w:style>
  <w:style w:type="paragraph" w:customStyle="1" w:styleId="-">
    <w:name w:val="Список-перечень"/>
    <w:basedOn w:val="a3"/>
    <w:next w:val="a3"/>
    <w:qFormat/>
    <w:rsid w:val="00A62280"/>
    <w:pPr>
      <w:numPr>
        <w:numId w:val="47"/>
      </w:numPr>
      <w:tabs>
        <w:tab w:val="clear" w:pos="288"/>
        <w:tab w:val="left" w:pos="709"/>
      </w:tabs>
      <w:spacing w:after="60"/>
      <w:ind w:left="714" w:hanging="357"/>
    </w:pPr>
  </w:style>
  <w:style w:type="paragraph" w:customStyle="1" w:styleId="a">
    <w:name w:val="Название рисунка"/>
    <w:basedOn w:val="a2"/>
    <w:qFormat/>
    <w:rsid w:val="00CE0011"/>
    <w:pPr>
      <w:numPr>
        <w:numId w:val="45"/>
      </w:numPr>
      <w:tabs>
        <w:tab w:val="left" w:pos="289"/>
      </w:tabs>
      <w:spacing w:before="120" w:after="200"/>
    </w:pPr>
    <w:rPr>
      <w:sz w:val="16"/>
    </w:rPr>
  </w:style>
  <w:style w:type="paragraph" w:customStyle="1" w:styleId="a1">
    <w:name w:val="Таблица"/>
    <w:basedOn w:val="a2"/>
    <w:next w:val="a2"/>
    <w:qFormat/>
    <w:rsid w:val="00A62280"/>
    <w:pPr>
      <w:numPr>
        <w:numId w:val="48"/>
      </w:numPr>
      <w:tabs>
        <w:tab w:val="left" w:pos="567"/>
      </w:tabs>
      <w:spacing w:before="240" w:after="80"/>
      <w:ind w:left="714" w:hanging="357"/>
      <w:jc w:val="center"/>
    </w:pPr>
    <w:rPr>
      <w:smallCaps/>
      <w:sz w:val="16"/>
    </w:rPr>
  </w:style>
  <w:style w:type="table" w:styleId="af0">
    <w:name w:val="Table Grid"/>
    <w:basedOn w:val="a5"/>
    <w:uiPriority w:val="59"/>
    <w:rsid w:val="00CE001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1">
    <w:name w:val="Строка таблицы"/>
    <w:basedOn w:val="a2"/>
    <w:qFormat/>
    <w:rsid w:val="00CE0011"/>
    <w:pPr>
      <w:tabs>
        <w:tab w:val="left" w:pos="1021"/>
      </w:tabs>
    </w:pPr>
    <w:rPr>
      <w:sz w:val="16"/>
    </w:rPr>
  </w:style>
  <w:style w:type="paragraph" w:styleId="a0">
    <w:name w:val="Bibliography"/>
    <w:basedOn w:val="a3"/>
    <w:next w:val="a2"/>
    <w:qFormat/>
    <w:rsid w:val="00A62280"/>
    <w:pPr>
      <w:numPr>
        <w:numId w:val="50"/>
      </w:numPr>
      <w:tabs>
        <w:tab w:val="clear" w:pos="288"/>
        <w:tab w:val="left" w:pos="357"/>
      </w:tabs>
      <w:spacing w:after="50" w:line="180" w:lineRule="exact"/>
    </w:pPr>
    <w:rPr>
      <w:spacing w:val="0"/>
      <w:sz w:val="16"/>
    </w:rPr>
  </w:style>
  <w:style w:type="paragraph" w:customStyle="1" w:styleId="s-annot">
    <w:name w:val="_s-annot"/>
    <w:basedOn w:val="a2"/>
    <w:qFormat/>
    <w:rsid w:val="00696080"/>
    <w:pPr>
      <w:widowControl w:val="0"/>
      <w:tabs>
        <w:tab w:val="right" w:pos="9923"/>
      </w:tabs>
      <w:suppressAutoHyphens w:val="0"/>
      <w:spacing w:line="247" w:lineRule="auto"/>
      <w:ind w:left="454"/>
      <w:contextualSpacing/>
      <w:jc w:val="both"/>
      <w:outlineLvl w:val="6"/>
    </w:pPr>
    <w:rPr>
      <w:rFonts w:ascii="Tahoma" w:hAnsi="Tahoma" w:cs="Tahoma"/>
      <w:sz w:val="16"/>
      <w:szCs w:val="16"/>
      <w:lang w:eastAsia="ru-RU"/>
      <w14:ligatures w14:val="standardContextual"/>
    </w:rPr>
  </w:style>
  <w:style w:type="paragraph" w:customStyle="1" w:styleId="s-annot-z">
    <w:name w:val="_s-annot-z"/>
    <w:basedOn w:val="s-annot"/>
    <w:qFormat/>
    <w:rsid w:val="00696080"/>
    <w:pPr>
      <w:pBdr>
        <w:top w:val="single" w:sz="18" w:space="2" w:color="auto"/>
      </w:pBdr>
      <w:spacing w:after="60"/>
      <w:ind w:left="0" w:right="7655"/>
    </w:pPr>
    <w:rPr>
      <w:b/>
    </w:rPr>
  </w:style>
  <w:style w:type="paragraph" w:customStyle="1" w:styleId="s-avtor">
    <w:name w:val="_s-avtor"/>
    <w:basedOn w:val="a2"/>
    <w:qFormat/>
    <w:rsid w:val="00696080"/>
    <w:pPr>
      <w:tabs>
        <w:tab w:val="right" w:pos="9923"/>
      </w:tabs>
      <w:spacing w:after="120" w:line="247" w:lineRule="auto"/>
      <w:ind w:left="454"/>
      <w:contextualSpacing/>
      <w:outlineLvl w:val="0"/>
    </w:pPr>
    <w:rPr>
      <w:rFonts w:ascii="Tahoma" w:hAnsi="Tahoma" w:cs="Tahoma"/>
      <w:sz w:val="18"/>
      <w:szCs w:val="16"/>
      <w:lang w:eastAsia="ru-RU"/>
      <w14:ligatures w14:val="standardContextual"/>
    </w:rPr>
  </w:style>
  <w:style w:type="paragraph" w:customStyle="1" w:styleId="s-citir">
    <w:name w:val="_s-citir"/>
    <w:basedOn w:val="a2"/>
    <w:qFormat/>
    <w:rsid w:val="00696080"/>
    <w:pPr>
      <w:tabs>
        <w:tab w:val="right" w:pos="9923"/>
      </w:tabs>
      <w:suppressAutoHyphens w:val="0"/>
      <w:spacing w:before="60" w:after="60" w:line="247" w:lineRule="auto"/>
      <w:ind w:left="454" w:firstLine="454"/>
      <w:contextualSpacing/>
      <w:jc w:val="both"/>
    </w:pPr>
    <w:rPr>
      <w:sz w:val="18"/>
      <w:lang w:eastAsia="ru-RU"/>
      <w14:ligatures w14:val="standardContextual"/>
    </w:rPr>
  </w:style>
  <w:style w:type="paragraph" w:customStyle="1" w:styleId="s-date">
    <w:name w:val="_s-date"/>
    <w:basedOn w:val="a2"/>
    <w:qFormat/>
    <w:rsid w:val="00696080"/>
    <w:pPr>
      <w:tabs>
        <w:tab w:val="right" w:pos="9923"/>
      </w:tabs>
      <w:suppressAutoHyphens w:val="0"/>
      <w:spacing w:before="120" w:line="247" w:lineRule="auto"/>
      <w:jc w:val="both"/>
      <w:outlineLvl w:val="3"/>
    </w:pPr>
    <w:rPr>
      <w:b/>
      <w:bCs/>
      <w:lang w:eastAsia="ru-RU"/>
      <w14:ligatures w14:val="standardContextual"/>
    </w:rPr>
  </w:style>
  <w:style w:type="paragraph" w:customStyle="1" w:styleId="s-kw">
    <w:name w:val="_s-kw"/>
    <w:basedOn w:val="a2"/>
    <w:qFormat/>
    <w:rsid w:val="00696080"/>
    <w:pPr>
      <w:tabs>
        <w:tab w:val="right" w:pos="9923"/>
      </w:tabs>
      <w:suppressAutoHyphens w:val="0"/>
      <w:spacing w:after="240" w:line="247" w:lineRule="auto"/>
      <w:ind w:left="454"/>
      <w:contextualSpacing/>
      <w:jc w:val="both"/>
      <w:outlineLvl w:val="6"/>
    </w:pPr>
    <w:rPr>
      <w:rFonts w:ascii="Tahoma" w:hAnsi="Tahoma" w:cs="Tahoma"/>
      <w:i/>
      <w:sz w:val="16"/>
      <w:szCs w:val="16"/>
      <w:lang w:eastAsia="ru-RU"/>
      <w14:ligatures w14:val="standardContextual"/>
    </w:rPr>
  </w:style>
  <w:style w:type="paragraph" w:customStyle="1" w:styleId="s-kw-z">
    <w:name w:val="_s-kw-z"/>
    <w:basedOn w:val="s-kw"/>
    <w:qFormat/>
    <w:rsid w:val="00696080"/>
    <w:pPr>
      <w:spacing w:before="60" w:after="0"/>
      <w:ind w:left="0"/>
    </w:pPr>
    <w:rPr>
      <w:b/>
    </w:rPr>
  </w:style>
  <w:style w:type="paragraph" w:customStyle="1" w:styleId="s-lit1-z">
    <w:name w:val="_s-lit1-z"/>
    <w:basedOn w:val="a2"/>
    <w:qFormat/>
    <w:rsid w:val="00696080"/>
    <w:pPr>
      <w:keepNext/>
      <w:tabs>
        <w:tab w:val="right" w:pos="9923"/>
      </w:tabs>
      <w:suppressAutoHyphens w:val="0"/>
      <w:spacing w:before="240" w:after="120" w:line="247" w:lineRule="auto"/>
      <w:jc w:val="both"/>
      <w:outlineLvl w:val="6"/>
    </w:pPr>
    <w:rPr>
      <w:b/>
      <w:sz w:val="22"/>
      <w:lang w:eastAsia="ru-RU"/>
      <w14:ligatures w14:val="standardContextual"/>
    </w:rPr>
  </w:style>
  <w:style w:type="paragraph" w:customStyle="1" w:styleId="16">
    <w:name w:val="Стиль16"/>
    <w:basedOn w:val="a2"/>
    <w:qFormat/>
    <w:rsid w:val="00696080"/>
    <w:pPr>
      <w:tabs>
        <w:tab w:val="right" w:pos="9072"/>
      </w:tabs>
      <w:suppressAutoHyphens w:val="0"/>
      <w:spacing w:line="247" w:lineRule="auto"/>
      <w:ind w:left="454" w:firstLine="454"/>
      <w:jc w:val="both"/>
    </w:pPr>
    <w:rPr>
      <w:rFonts w:ascii="Tahoma" w:hAnsi="Tahoma" w:cs="Tahoma"/>
      <w:i/>
      <w:color w:val="000000"/>
      <w:sz w:val="16"/>
      <w:szCs w:val="16"/>
      <w:lang w:eastAsia="ru-RU"/>
      <w14:ligatures w14:val="standardContextual"/>
    </w:rPr>
  </w:style>
  <w:style w:type="paragraph" w:customStyle="1" w:styleId="references">
    <w:name w:val="references"/>
    <w:rsid w:val="00696080"/>
    <w:pPr>
      <w:tabs>
        <w:tab w:val="num" w:pos="360"/>
      </w:tabs>
      <w:spacing w:after="50" w:line="180" w:lineRule="exact"/>
      <w:jc w:val="both"/>
    </w:pPr>
    <w:rPr>
      <w:rFonts w:ascii="Times New Roman" w:eastAsia="MS Mincho" w:hAnsi="Times New Roman" w:cs="Times New Roman"/>
      <w:noProof/>
      <w:sz w:val="16"/>
      <w:szCs w:val="16"/>
      <w:lang w:val="en-US" w:eastAsia="en-US"/>
      <w14:ligatures w14:val="standardContextual"/>
    </w:rPr>
  </w:style>
  <w:style w:type="character" w:styleId="af2">
    <w:name w:val="Hyperlink"/>
    <w:basedOn w:val="a4"/>
    <w:uiPriority w:val="99"/>
    <w:unhideWhenUsed/>
    <w:rsid w:val="008540C2"/>
    <w:rPr>
      <w:color w:val="0000FF" w:themeColor="hyperlink"/>
      <w:u w:val="single"/>
    </w:rPr>
  </w:style>
  <w:style w:type="character" w:customStyle="1" w:styleId="11">
    <w:name w:val="Неразрешенное упоминание1"/>
    <w:basedOn w:val="a4"/>
    <w:uiPriority w:val="99"/>
    <w:semiHidden/>
    <w:unhideWhenUsed/>
    <w:rsid w:val="008540C2"/>
    <w:rPr>
      <w:color w:val="605E5C"/>
      <w:shd w:val="clear" w:color="auto" w:fill="E1DFDD"/>
    </w:rPr>
  </w:style>
  <w:style w:type="paragraph" w:customStyle="1" w:styleId="ds-markdown-paragraph">
    <w:name w:val="ds-markdown-paragraph"/>
    <w:basedOn w:val="a2"/>
    <w:rsid w:val="006C7749"/>
    <w:pPr>
      <w:suppressAutoHyphens w:val="0"/>
      <w:spacing w:before="100" w:beforeAutospacing="1" w:after="100" w:afterAutospacing="1"/>
    </w:pPr>
    <w:rPr>
      <w:sz w:val="24"/>
      <w:szCs w:val="24"/>
      <w:lang w:eastAsia="ru-RU"/>
    </w:rPr>
  </w:style>
  <w:style w:type="character" w:customStyle="1" w:styleId="UnresolvedMention">
    <w:name w:val="Unresolved Mention"/>
    <w:basedOn w:val="a4"/>
    <w:uiPriority w:val="99"/>
    <w:semiHidden/>
    <w:unhideWhenUsed/>
    <w:rsid w:val="00087840"/>
    <w:rPr>
      <w:color w:val="605E5C"/>
      <w:shd w:val="clear" w:color="auto" w:fill="E1DFDD"/>
    </w:rPr>
  </w:style>
  <w:style w:type="paragraph" w:styleId="af3">
    <w:name w:val="header"/>
    <w:basedOn w:val="a2"/>
    <w:link w:val="af4"/>
    <w:unhideWhenUsed/>
    <w:rsid w:val="001C10F0"/>
    <w:pPr>
      <w:tabs>
        <w:tab w:val="center" w:pos="4677"/>
        <w:tab w:val="right" w:pos="9355"/>
      </w:tabs>
    </w:pPr>
  </w:style>
  <w:style w:type="character" w:customStyle="1" w:styleId="af4">
    <w:name w:val="Верхний колонтитул Знак"/>
    <w:basedOn w:val="a4"/>
    <w:link w:val="af3"/>
    <w:rsid w:val="001C10F0"/>
    <w:rPr>
      <w:rFonts w:ascii="Times New Roman" w:hAnsi="Times New Roman" w:cs="Times New Roman"/>
      <w:sz w:val="20"/>
      <w:szCs w:val="20"/>
      <w:lang w:eastAsia="en-US"/>
    </w:rPr>
  </w:style>
  <w:style w:type="paragraph" w:styleId="af5">
    <w:name w:val="footer"/>
    <w:basedOn w:val="a2"/>
    <w:link w:val="af6"/>
    <w:uiPriority w:val="99"/>
    <w:unhideWhenUsed/>
    <w:rsid w:val="001C10F0"/>
    <w:pPr>
      <w:tabs>
        <w:tab w:val="center" w:pos="4677"/>
        <w:tab w:val="right" w:pos="9355"/>
      </w:tabs>
    </w:pPr>
  </w:style>
  <w:style w:type="character" w:customStyle="1" w:styleId="af6">
    <w:name w:val="Нижний колонтитул Знак"/>
    <w:basedOn w:val="a4"/>
    <w:link w:val="af5"/>
    <w:uiPriority w:val="99"/>
    <w:rsid w:val="001C10F0"/>
    <w:rPr>
      <w:rFonts w:ascii="Times New Roman" w:hAnsi="Times New Roman" w:cs="Times New Roman"/>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bohovkoigor10@gmail.com" TargetMode="External"/><Relationship Id="rId13"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mailto:nikolai.ovsyannikoff@yandex.ru"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mailto:milanamihailis@mail.ru" TargetMode="External"/><Relationship Id="rId5" Type="http://schemas.openxmlformats.org/officeDocument/2006/relationships/webSettings" Target="webSettings.xml"/><Relationship Id="rId15" Type="http://schemas.openxmlformats.org/officeDocument/2006/relationships/image" Target="media/image2.png"/><Relationship Id="rId10" Type="http://schemas.openxmlformats.org/officeDocument/2006/relationships/hyperlink" Target="mailto:gakonoplev@mail.ru" TargetMode="External"/><Relationship Id="rId4" Type="http://schemas.openxmlformats.org/officeDocument/2006/relationships/settings" Target="settings.xml"/><Relationship Id="rId9" Type="http://schemas.openxmlformats.org/officeDocument/2006/relationships/hyperlink" Target="mailto:korneeva.inkorn@yandex.ru" TargetMode="External"/><Relationship Id="rId1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2201</Words>
  <Characters>12548</Characters>
  <Application>Microsoft Office Word</Application>
  <DocSecurity>0</DocSecurity>
  <Lines>104</Lines>
  <Paragraphs>29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14720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dc:creator>
  <cp:lastModifiedBy>Ri</cp:lastModifiedBy>
  <cp:revision>2</cp:revision>
  <dcterms:created xsi:type="dcterms:W3CDTF">2026-04-16T12:42:00Z</dcterms:created>
  <dcterms:modified xsi:type="dcterms:W3CDTF">2026-04-16T12:42:00Z</dcterms:modified>
</cp:coreProperties>
</file>