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EE3" w:rsidRPr="005664CA" w:rsidRDefault="00E0112D" w:rsidP="008D03B1">
      <w:pPr>
        <w:pStyle w:val="a8"/>
      </w:pPr>
      <w:r w:rsidRPr="005664CA">
        <w:t>Оценка неопределённости результатов измерений на основных этапах работ по воспроизведению единицы электрической емкости на основе квантового сопротивления Холла</w:t>
      </w:r>
    </w:p>
    <w:p w:rsidR="005664CA" w:rsidRPr="005664CA" w:rsidRDefault="005664CA" w:rsidP="008D03B1">
      <w:pPr>
        <w:pStyle w:val="aff4"/>
        <w:rPr>
          <w:rFonts w:eastAsia="Calibri"/>
        </w:rPr>
      </w:pPr>
      <w:r>
        <w:rPr>
          <w:rFonts w:eastAsia="Calibri"/>
        </w:rPr>
        <w:t>Ю.</w:t>
      </w:r>
      <w:r w:rsidR="008D03B1">
        <w:rPr>
          <w:rFonts w:eastAsia="Calibri"/>
        </w:rPr>
        <w:t xml:space="preserve"> </w:t>
      </w:r>
      <w:r>
        <w:rPr>
          <w:rFonts w:eastAsia="Calibri"/>
        </w:rPr>
        <w:t>П. Семенов</w:t>
      </w:r>
    </w:p>
    <w:p w:rsidR="005664CA" w:rsidRPr="005664CA" w:rsidRDefault="005664CA" w:rsidP="008D03B1">
      <w:pPr>
        <w:pStyle w:val="aff3"/>
        <w:rPr>
          <w:sz w:val="20"/>
        </w:rPr>
      </w:pPr>
      <w:r w:rsidRPr="005664CA">
        <w:rPr>
          <w:sz w:val="20"/>
        </w:rPr>
        <w:t>Всероссийский НИИ</w:t>
      </w:r>
      <w:r w:rsidRPr="005664CA">
        <w:t xml:space="preserve"> метрологии им. Д.И. Менделеева</w:t>
      </w:r>
    </w:p>
    <w:p w:rsidR="00952EE3" w:rsidRPr="001B69F0" w:rsidRDefault="00E0112D" w:rsidP="008D03B1">
      <w:pPr>
        <w:pStyle w:val="affa"/>
        <w:spacing w:after="180"/>
        <w:rPr>
          <w:rFonts w:eastAsia="MS Mincho"/>
        </w:rPr>
      </w:pPr>
      <w:r w:rsidRPr="001B69F0">
        <w:rPr>
          <w:rFonts w:eastAsia="MS Mincho"/>
        </w:rPr>
        <w:t>Y.P.Semenov@vniim.ru</w:t>
      </w:r>
    </w:p>
    <w:p w:rsidR="00FC3CD9" w:rsidRDefault="00FC3CD9" w:rsidP="005664CA">
      <w:pPr>
        <w:pStyle w:val="aff5"/>
        <w:spacing w:beforeAutospacing="0" w:after="80" w:afterAutospacing="0"/>
        <w:jc w:val="both"/>
        <w:rPr>
          <w:rFonts w:ascii="TimesNewRomanPS-BoldMT" w:hAnsi="TimesNewRomanPS-BoldMT"/>
          <w:b/>
          <w:bCs/>
          <w:i/>
          <w:color w:val="000000"/>
        </w:rPr>
        <w:sectPr w:rsidR="00FC3CD9" w:rsidSect="00F46B1D">
          <w:footerReference w:type="default" r:id="rId9"/>
          <w:pgSz w:w="11906" w:h="16838" w:code="9"/>
          <w:pgMar w:top="907" w:right="907" w:bottom="1440" w:left="907" w:header="709" w:footer="709" w:gutter="0"/>
          <w:pgNumType w:start="407"/>
          <w:cols w:space="720"/>
          <w:formProt w:val="0"/>
          <w:docGrid w:linePitch="360"/>
        </w:sectPr>
      </w:pPr>
    </w:p>
    <w:p w:rsidR="00952EE3" w:rsidRPr="005664CA" w:rsidRDefault="00AA10C4" w:rsidP="008D03B1">
      <w:pPr>
        <w:pStyle w:val="aff8"/>
        <w:rPr>
          <w:rFonts w:ascii="TimesNewRomanPS-BoldMT" w:hAnsi="TimesNewRomanPS-BoldMT"/>
          <w:bCs/>
          <w:color w:val="000000"/>
        </w:rPr>
      </w:pPr>
      <w:r w:rsidRPr="005664CA">
        <w:rPr>
          <w:rFonts w:ascii="TimesNewRomanPS-BoldMT" w:hAnsi="TimesNewRomanPS-BoldMT"/>
          <w:bCs/>
          <w:i/>
          <w:color w:val="000000"/>
        </w:rPr>
        <w:lastRenderedPageBreak/>
        <w:t>Аннотация</w:t>
      </w:r>
      <w:r>
        <w:rPr>
          <w:rFonts w:ascii="TimesNewRomanPS-BoldMT" w:hAnsi="TimesNewRomanPS-BoldMT"/>
          <w:bCs/>
          <w:color w:val="000000"/>
        </w:rPr>
        <w:t>.</w:t>
      </w:r>
      <w:r w:rsidR="00E0112D">
        <w:rPr>
          <w:rFonts w:ascii="TimesNewRomanPS-BoldMT" w:hAnsi="TimesNewRomanPS-BoldMT"/>
          <w:bCs/>
          <w:color w:val="000000"/>
          <w:sz w:val="28"/>
          <w:szCs w:val="28"/>
        </w:rPr>
        <w:t xml:space="preserve"> </w:t>
      </w:r>
      <w:r w:rsidR="00E0112D" w:rsidRPr="005664CA">
        <w:rPr>
          <w:color w:val="000000"/>
        </w:rPr>
        <w:t xml:space="preserve">В 2025 году во Всероссийском научно-исследовательском </w:t>
      </w:r>
      <w:r w:rsidR="00E0112D" w:rsidRPr="005664CA">
        <w:t>институте метрологии им. Д. И. Менделеева (ВНИИМ) завершены работы по созданию комплекса аппаратуры для воспроизведения единицы электрической ёмкости на основе единиц электрического сопротивления и частоты. Новый комплекс предназначен для замены состава Государственного первичного эталона ГЭТ 25. Анализ источников неопределенности результатов измерений на основных этапах работ показывает, что относительная суммарн</w:t>
      </w:r>
      <w:r w:rsidR="008A7C5A" w:rsidRPr="005664CA">
        <w:t>ая</w:t>
      </w:r>
      <w:r w:rsidR="00E0112D" w:rsidRPr="005664CA">
        <w:t xml:space="preserve"> стандартная неопределенность во</w:t>
      </w:r>
      <w:r w:rsidRPr="005664CA">
        <w:t>с</w:t>
      </w:r>
      <w:r w:rsidR="00E0112D" w:rsidRPr="005664CA">
        <w:t>произведения единицы (1-σ) не превышает 8×10</w:t>
      </w:r>
      <w:r w:rsidR="00E0112D" w:rsidRPr="005664CA">
        <w:rPr>
          <w:vertAlign w:val="superscript"/>
        </w:rPr>
        <w:t>-8</w:t>
      </w:r>
      <w:r w:rsidR="00E0112D" w:rsidRPr="005664CA">
        <w:t>.</w:t>
      </w:r>
    </w:p>
    <w:p w:rsidR="005664CA" w:rsidRPr="005664CA" w:rsidRDefault="00E0112D" w:rsidP="008D03B1">
      <w:pPr>
        <w:pStyle w:val="aff9"/>
      </w:pPr>
      <w:r w:rsidRPr="005664CA">
        <w:t>Ключевые слова: единица электрической ёмкости, воспроизведение, г</w:t>
      </w:r>
      <w:r w:rsidR="008D03B1">
        <w:t>осударственный первичный эталон</w:t>
      </w:r>
    </w:p>
    <w:p w:rsidR="00952EE3" w:rsidRDefault="00E0112D" w:rsidP="008D03B1">
      <w:pPr>
        <w:pStyle w:val="1"/>
      </w:pPr>
      <w:r>
        <w:t>Введение</w:t>
      </w:r>
    </w:p>
    <w:p w:rsidR="00E27946" w:rsidRDefault="00E27946" w:rsidP="008D03B1">
      <w:pPr>
        <w:pStyle w:val="a3"/>
      </w:pPr>
      <w:r>
        <w:rPr>
          <w:rFonts w:eastAsiaTheme="minorHAnsi"/>
        </w:rPr>
        <w:t>В 2025 году во ФГУП «ВНИИМ им.</w:t>
      </w:r>
      <w:r>
        <w:rPr>
          <w:rFonts w:eastAsiaTheme="minorHAnsi"/>
        </w:rPr>
        <w:br/>
      </w:r>
      <w:r w:rsidR="00E0112D">
        <w:rPr>
          <w:rFonts w:eastAsiaTheme="minorHAnsi"/>
        </w:rPr>
        <w:t xml:space="preserve">Д.И. Менделеева» завершена разработка </w:t>
      </w:r>
      <w:r w:rsidR="00E0112D">
        <w:t xml:space="preserve">комплекса аппаратуры для воспроизведения единицы электрической емкости на основе единиц электрического сопротивления и частоты. Новый комплекс предназначен для замены </w:t>
      </w:r>
      <w:r>
        <w:t>состава,</w:t>
      </w:r>
      <w:r w:rsidR="00E0112D">
        <w:t xml:space="preserve"> действующего Государственного первичного эталона ГЭТ 25–79, теоретической основой которого являлась теорема электростатики Томпсона-Лэмпарда о перекр</w:t>
      </w:r>
      <w:r>
        <w:t>естных системах электродов [1].</w:t>
      </w:r>
    </w:p>
    <w:p w:rsidR="00952EE3" w:rsidRDefault="00E0112D" w:rsidP="008D03B1">
      <w:pPr>
        <w:pStyle w:val="a3"/>
      </w:pPr>
      <w:r>
        <w:t>В соответствии с этой теоремой был создан перекрестный расчетный конденсатор (ПРК), емкость которого прямо пропорциональна только одному линейному размеру – длине электродов - и, при соблюдении определенных условий при конструировании конденсатора, практически не зависит от других размеров и от формы электродов. Применение ПРК позволяет установить экспериментально непосредственную связь между единицами электрической емкости и длины. Наиболее совершенные ПРК последнего поколения, созданные в Международном Бюро Мер и Весов (МБМВ) и в ряде национальных метрологических институт</w:t>
      </w:r>
      <w:r w:rsidR="00D9259E">
        <w:t>ах</w:t>
      </w:r>
      <w:r w:rsidR="008A7C5A">
        <w:t xml:space="preserve"> (НМИ)</w:t>
      </w:r>
      <w:r>
        <w:t xml:space="preserve"> обеспечивают воспроизведение единицы электрической емкости (Фарад) с относительной неопределенностью порядка 5∙10</w:t>
      </w:r>
      <w:r>
        <w:rPr>
          <w:vertAlign w:val="superscript"/>
        </w:rPr>
        <w:t>-8</w:t>
      </w:r>
      <w:r>
        <w:t xml:space="preserve"> при номинальном значении 0,5 пФ [2].</w:t>
      </w:r>
    </w:p>
    <w:p w:rsidR="00952EE3" w:rsidRDefault="00E0112D" w:rsidP="008D03B1">
      <w:pPr>
        <w:pStyle w:val="a3"/>
      </w:pPr>
      <w:r>
        <w:t>Существует альтернативный</w:t>
      </w:r>
      <w:r w:rsidR="00E27946">
        <w:t xml:space="preserve"> </w:t>
      </w:r>
      <w:r>
        <w:t>способ</w:t>
      </w:r>
      <w:r w:rsidR="00E27946">
        <w:t xml:space="preserve"> </w:t>
      </w:r>
      <w:r>
        <w:t>воспроизведения Фарада примерно с той же точностью, но при значении емкости 1</w:t>
      </w:r>
      <w:r w:rsidR="00F46B1D">
        <w:t>–</w:t>
      </w:r>
      <w:r>
        <w:t xml:space="preserve">10 </w:t>
      </w:r>
      <w:proofErr w:type="spellStart"/>
      <w:r>
        <w:t>нФ</w:t>
      </w:r>
      <w:proofErr w:type="spellEnd"/>
      <w:r>
        <w:t>, основанный на сопоставлении импеданса меры емкости Zc и меры сопротивления Z</w:t>
      </w:r>
      <w:r>
        <w:rPr>
          <w:vertAlign w:val="subscript"/>
        </w:rPr>
        <w:t>R</w:t>
      </w:r>
      <w:r>
        <w:t xml:space="preserve"> при фиксированной частоте «f». Фазовый сдвиг</w:t>
      </w:r>
      <w:r w:rsidR="00D9259E">
        <w:t xml:space="preserve"> </w:t>
      </w:r>
      <w:r>
        <w:t xml:space="preserve">(π/2) </w:t>
      </w:r>
      <w:r>
        <w:lastRenderedPageBreak/>
        <w:t>между Zc и Z</w:t>
      </w:r>
      <w:r>
        <w:rPr>
          <w:vertAlign w:val="subscript"/>
        </w:rPr>
        <w:t>R</w:t>
      </w:r>
      <w:r>
        <w:t xml:space="preserve"> препятствует их точному измерению в цепи одинарного моста, поэтому применяется «двойной квадратурный мост», впервые предложенный Томпсоном [3]. В его электрической цепи посредством удвоения числа сличаемых мер может быть реализовано соотношение</w:t>
      </w:r>
      <w:r w:rsidR="008D03B1">
        <w:t xml:space="preserve"> </w:t>
      </w:r>
      <w:r>
        <w:t>(2πf)</w:t>
      </w:r>
      <w:r>
        <w:rPr>
          <w:vertAlign w:val="superscript"/>
        </w:rPr>
        <w:t>2</w:t>
      </w:r>
      <w:r>
        <w:t xml:space="preserve"> R</w:t>
      </w:r>
      <w:r>
        <w:rPr>
          <w:vertAlign w:val="subscript"/>
        </w:rPr>
        <w:t>1</w:t>
      </w:r>
      <w:r>
        <w:t>∙R</w:t>
      </w:r>
      <w:r>
        <w:rPr>
          <w:vertAlign w:val="subscript"/>
        </w:rPr>
        <w:t>2</w:t>
      </w:r>
      <w:r>
        <w:t>∙C</w:t>
      </w:r>
      <w:r>
        <w:rPr>
          <w:vertAlign w:val="subscript"/>
        </w:rPr>
        <w:t>1</w:t>
      </w:r>
      <w:r>
        <w:t>∙C</w:t>
      </w:r>
      <w:r>
        <w:rPr>
          <w:vertAlign w:val="subscript"/>
        </w:rPr>
        <w:t>2</w:t>
      </w:r>
      <w:r>
        <w:t xml:space="preserve"> = 1 + δ</w:t>
      </w:r>
      <w:r>
        <w:rPr>
          <w:vertAlign w:val="subscript"/>
        </w:rPr>
        <w:t>φ</w:t>
      </w:r>
      <w:r>
        <w:t>,</w:t>
      </w:r>
      <w:r w:rsidR="00E27946">
        <w:t xml:space="preserve"> где </w:t>
      </w:r>
      <w:r>
        <w:t>δ</w:t>
      </w:r>
      <w:r>
        <w:rPr>
          <w:vertAlign w:val="subscript"/>
        </w:rPr>
        <w:t>φ</w:t>
      </w:r>
      <w:r>
        <w:t>&lt;&lt;1 – поправочный член, который может быть определен экспериментально.</w:t>
      </w:r>
    </w:p>
    <w:p w:rsidR="00952EE3" w:rsidRDefault="00E0112D" w:rsidP="008D03B1">
      <w:pPr>
        <w:pStyle w:val="a3"/>
      </w:pPr>
      <w:r>
        <w:t>Это соотношение позволяет выразить значение (C</w:t>
      </w:r>
      <w:r>
        <w:rPr>
          <w:vertAlign w:val="subscript"/>
        </w:rPr>
        <w:t>1</w:t>
      </w:r>
      <w:r>
        <w:t>∙C</w:t>
      </w:r>
      <w:r>
        <w:rPr>
          <w:vertAlign w:val="subscript"/>
        </w:rPr>
        <w:t>2</w:t>
      </w:r>
      <w:r>
        <w:t>) через значения двух величин – электрического сопротивления и частоты (времени), воспроизведение каждой из которых осуществляется посредством реализации квантового эффекта.</w:t>
      </w:r>
    </w:p>
    <w:p w:rsidR="00952EE3" w:rsidRDefault="00E0112D" w:rsidP="008D03B1">
      <w:pPr>
        <w:pStyle w:val="a3"/>
      </w:pPr>
      <w:r>
        <w:t xml:space="preserve">Единица электрического сопротивления воспроизводится посредством реализации квантового эффекта Холла (КЭХ). В 2019 году в обновленной SI зафиксировано </w:t>
      </w:r>
      <w:r>
        <w:rPr>
          <w:i/>
          <w:iCs/>
        </w:rPr>
        <w:t>точное</w:t>
      </w:r>
      <w:r>
        <w:t xml:space="preserve"> значение константы фон Клитцинга R</w:t>
      </w:r>
      <w:r>
        <w:rPr>
          <w:vertAlign w:val="subscript"/>
        </w:rPr>
        <w:t>K</w:t>
      </w:r>
      <w:r>
        <w:t xml:space="preserve">, характеризующей КЭХ, выраженное через значения двух фундаментальных физических констант (ФФК) – заряда электрона </w:t>
      </w:r>
      <w:r>
        <w:rPr>
          <w:b/>
          <w:bCs/>
          <w:i/>
          <w:iCs/>
        </w:rPr>
        <w:t>e</w:t>
      </w:r>
      <w:r>
        <w:t xml:space="preserve"> и постоянной Планка </w:t>
      </w:r>
      <w:r>
        <w:rPr>
          <w:i/>
          <w:iCs/>
        </w:rPr>
        <w:t>h:</w:t>
      </w:r>
      <w:r>
        <w:rPr>
          <w:b/>
          <w:bCs/>
          <w:i/>
          <w:iCs/>
        </w:rPr>
        <w:t xml:space="preserve"> </w:t>
      </w:r>
      <w:r>
        <w:t>R</w:t>
      </w:r>
      <w:r>
        <w:rPr>
          <w:vertAlign w:val="subscript"/>
        </w:rPr>
        <w:t>K</w:t>
      </w:r>
      <w:r>
        <w:t>= h/e</w:t>
      </w:r>
      <w:r>
        <w:rPr>
          <w:vertAlign w:val="superscript"/>
        </w:rPr>
        <w:t>2</w:t>
      </w:r>
      <w:r>
        <w:t>. В определении единицы времени также зафиксировано значение ФФК, характеризующей сверхтонкий переход основного состояния атома цезия-133.</w:t>
      </w:r>
    </w:p>
    <w:p w:rsidR="00952EE3" w:rsidRDefault="00E0112D" w:rsidP="008D03B1">
      <w:pPr>
        <w:pStyle w:val="a3"/>
        <w:rPr>
          <w:bCs/>
          <w:iCs/>
        </w:rPr>
      </w:pPr>
      <w:r>
        <w:t>Комплекс аппаратуры для нового эталона единицы электрической емкости ГЭТ 25 реализует определение Фарада посредством использования значений трех указанных ФФК.</w:t>
      </w:r>
      <w:r>
        <w:rPr>
          <w:sz w:val="28"/>
          <w:szCs w:val="28"/>
        </w:rPr>
        <w:t xml:space="preserve"> </w:t>
      </w:r>
      <w:r>
        <w:t xml:space="preserve">– </w:t>
      </w:r>
      <w:r w:rsidRPr="003F406D">
        <w:rPr>
          <w:bCs/>
          <w:i/>
          <w:iCs/>
        </w:rPr>
        <w:t>е,</w:t>
      </w:r>
      <w:r>
        <w:rPr>
          <w:b/>
          <w:bCs/>
          <w:i/>
          <w:iCs/>
        </w:rPr>
        <w:t xml:space="preserve"> </w:t>
      </w:r>
      <w:r>
        <w:rPr>
          <w:bCs/>
          <w:i/>
          <w:iCs/>
        </w:rPr>
        <w:t>h</w:t>
      </w:r>
      <w:r>
        <w:t xml:space="preserve"> и</w:t>
      </w:r>
      <w:r>
        <w:rPr>
          <w:bCs/>
          <w:i/>
          <w:iCs/>
        </w:rPr>
        <w:t xml:space="preserve"> ν.</w:t>
      </w:r>
    </w:p>
    <w:p w:rsidR="00952EE3" w:rsidRDefault="008D03B1" w:rsidP="008D03B1">
      <w:pPr>
        <w:pStyle w:val="1"/>
      </w:pPr>
      <w:r>
        <w:t>Цепь измерений, связывающих эталоны единиц электрического сопротивления и ёмкости</w:t>
      </w:r>
    </w:p>
    <w:p w:rsidR="00952EE3" w:rsidRDefault="00E0112D" w:rsidP="008D03B1">
      <w:pPr>
        <w:pStyle w:val="a3"/>
      </w:pPr>
      <w:r>
        <w:t xml:space="preserve">Практическая реализация единицы электрической емкости на основе квантовых эффектов включает в себя ряд взаимосвязанных экспериментальных исследований, объединяемых наименованием «Цепь измерений, связывающих КСХ и единицу ёмкости (фарада)». </w:t>
      </w:r>
      <w:proofErr w:type="gramStart"/>
      <w:r>
        <w:t>Принципиальная схема этой цепи измерений остается неизменной при воспроизведении фа</w:t>
      </w:r>
      <w:r w:rsidR="003C699A">
        <w:t>рада в различных НМИ мира</w:t>
      </w:r>
      <w:r w:rsidR="008D03B1">
        <w:t xml:space="preserve"> </w:t>
      </w:r>
      <w:r w:rsidR="003C699A">
        <w:t>[4–6</w:t>
      </w:r>
      <w:r>
        <w:t>], но практическая реализация (номинальные значения параметров, частоты, способы уравновешивания измерительных цепей, фиксации состояния равновесия и др.) индивидуальна в каждом случае и в значительной степени определяет точность воспроизведения.</w:t>
      </w:r>
      <w:proofErr w:type="gramEnd"/>
      <w:r>
        <w:t xml:space="preserve"> Цепь измерений КСХ – Фарад во ВНИИМ состоит из следующих основных этапов:</w:t>
      </w:r>
    </w:p>
    <w:p w:rsidR="00952EE3" w:rsidRDefault="00E0112D" w:rsidP="008D03B1">
      <w:pPr>
        <w:pStyle w:val="aff2"/>
        <w:numPr>
          <w:ilvl w:val="0"/>
          <w:numId w:val="15"/>
        </w:numPr>
        <w:spacing w:after="120" w:line="228" w:lineRule="auto"/>
        <w:ind w:left="357" w:hanging="357"/>
        <w:jc w:val="both"/>
      </w:pPr>
      <w:r>
        <w:lastRenderedPageBreak/>
        <w:t xml:space="preserve">Воспроизведение единицы сопротивления посредством реализации КСХ (12,9 кОм) на </w:t>
      </w:r>
      <w:r w:rsidR="008C52D5">
        <w:t>постоянном токе,</w:t>
      </w:r>
      <w:r w:rsidR="00667A8A">
        <w:t xml:space="preserve"> и передача эталонам </w:t>
      </w:r>
      <w:r w:rsidR="008C52D5">
        <w:t>1, 10 и</w:t>
      </w:r>
      <w:r w:rsidR="008C52D5">
        <w:br/>
      </w:r>
      <w:r>
        <w:t>12,9 кОм посредством комплекса аппаратуры из состава ГЭТ 14;</w:t>
      </w:r>
    </w:p>
    <w:p w:rsidR="00952EE3" w:rsidRDefault="00E0112D" w:rsidP="008D03B1">
      <w:pPr>
        <w:pStyle w:val="aff2"/>
        <w:numPr>
          <w:ilvl w:val="0"/>
          <w:numId w:val="15"/>
        </w:numPr>
        <w:spacing w:after="120" w:line="228" w:lineRule="auto"/>
        <w:ind w:left="357" w:hanging="357"/>
        <w:jc w:val="both"/>
      </w:pPr>
      <w:r>
        <w:t>Исследования по созданию и аттестации на постоянном токе дополнительной группы эталонов 1, 10 и 12,9 кОм для независимого хранения единицы;</w:t>
      </w:r>
    </w:p>
    <w:p w:rsidR="00952EE3" w:rsidRDefault="00E0112D" w:rsidP="008D03B1">
      <w:pPr>
        <w:pStyle w:val="aff2"/>
        <w:numPr>
          <w:ilvl w:val="0"/>
          <w:numId w:val="15"/>
        </w:numPr>
        <w:spacing w:after="120" w:line="228" w:lineRule="auto"/>
        <w:ind w:left="357" w:hanging="357"/>
        <w:jc w:val="both"/>
      </w:pPr>
      <w:r>
        <w:t>Перемещение эталонов 1, 10 и 12,9 кОм в помещение, в котором размещен комплекс аппаратуры ГЭТ 25, и их взаимные сличения посредством моста на основе компаратора токов (МКТ-2) с целью подтверждения неизменности их значений и отношения плеч МКТ-2</w:t>
      </w:r>
      <w:r w:rsidR="008D03B1">
        <w:t>;</w:t>
      </w:r>
    </w:p>
    <w:p w:rsidR="003C699A" w:rsidRPr="003C699A" w:rsidRDefault="003C699A" w:rsidP="008D03B1">
      <w:pPr>
        <w:pStyle w:val="aff2"/>
        <w:numPr>
          <w:ilvl w:val="0"/>
          <w:numId w:val="15"/>
        </w:numPr>
        <w:spacing w:after="120" w:line="228" w:lineRule="auto"/>
        <w:ind w:left="357" w:hanging="357"/>
        <w:jc w:val="both"/>
      </w:pPr>
      <w:r w:rsidRPr="003C699A">
        <w:t>Раз</w:t>
      </w:r>
      <w:r w:rsidR="008C52D5">
        <w:t xml:space="preserve">работка и исследование эталонов сопротивления 100 кОм </w:t>
      </w:r>
      <w:r w:rsidRPr="003C699A">
        <w:t>постоянного</w:t>
      </w:r>
      <w:r w:rsidR="008C52D5">
        <w:t xml:space="preserve"> </w:t>
      </w:r>
      <w:r w:rsidRPr="003C699A">
        <w:t>/</w:t>
      </w:r>
      <w:r w:rsidR="008C52D5">
        <w:t xml:space="preserve"> </w:t>
      </w:r>
      <w:r w:rsidRPr="003C699A">
        <w:t>переменного тока (DC-AC) R1 и R2 квадратурного моста;</w:t>
      </w:r>
    </w:p>
    <w:p w:rsidR="00952EE3" w:rsidRDefault="00E0112D" w:rsidP="008D03B1">
      <w:pPr>
        <w:pStyle w:val="aff2"/>
        <w:numPr>
          <w:ilvl w:val="0"/>
          <w:numId w:val="15"/>
        </w:numPr>
        <w:spacing w:after="120" w:line="228" w:lineRule="auto"/>
        <w:ind w:left="357" w:hanging="357"/>
        <w:jc w:val="both"/>
      </w:pPr>
      <w:r>
        <w:t>Передача единицы эталонам R1 и R2 (100 кОм) на постоянном токе посредством МКТ-2;</w:t>
      </w:r>
    </w:p>
    <w:p w:rsidR="00952EE3" w:rsidRDefault="00E0112D" w:rsidP="008D03B1">
      <w:pPr>
        <w:pStyle w:val="aff2"/>
        <w:numPr>
          <w:ilvl w:val="0"/>
          <w:numId w:val="15"/>
        </w:numPr>
        <w:spacing w:after="120" w:line="228" w:lineRule="auto"/>
        <w:ind w:left="357" w:hanging="357"/>
        <w:jc w:val="both"/>
      </w:pPr>
      <w:r>
        <w:t>Сличения эталонов R1 и R2 с резисторами, имеющими расчетные частотные характеристики (РРЧХ), на постоянном токе посредством МКТ-2 и при частотах до 1 МГц посредством прецизионного цифрового RLC-метра и расчет значений сопротивления R1</w:t>
      </w:r>
      <w:r w:rsidR="003C699A">
        <w:t xml:space="preserve"> </w:t>
      </w:r>
      <w:r>
        <w:t xml:space="preserve">и R2 при частоте 1592 Гц с применением метода </w:t>
      </w:r>
      <w:r w:rsidR="008C52D5">
        <w:t xml:space="preserve">«частотной </w:t>
      </w:r>
      <w:r>
        <w:t>экстраполяции (МЧЭ);</w:t>
      </w:r>
    </w:p>
    <w:p w:rsidR="00952EE3" w:rsidRDefault="00E0112D" w:rsidP="008D03B1">
      <w:pPr>
        <w:pStyle w:val="aff2"/>
        <w:numPr>
          <w:ilvl w:val="0"/>
          <w:numId w:val="15"/>
        </w:numPr>
        <w:spacing w:after="120" w:line="228" w:lineRule="auto"/>
        <w:ind w:left="357" w:hanging="357"/>
        <w:jc w:val="both"/>
      </w:pPr>
      <w:r>
        <w:t>Разработка и исследование эталонов емкости С</w:t>
      </w:r>
      <w:proofErr w:type="gramStart"/>
      <w:r>
        <w:t>1</w:t>
      </w:r>
      <w:proofErr w:type="gramEnd"/>
      <w:r>
        <w:t xml:space="preserve"> и С2 квадратурного моста 1000 пФ;</w:t>
      </w:r>
    </w:p>
    <w:p w:rsidR="003C699A" w:rsidRPr="003C699A" w:rsidRDefault="003C699A" w:rsidP="008D03B1">
      <w:pPr>
        <w:pStyle w:val="aff2"/>
        <w:numPr>
          <w:ilvl w:val="0"/>
          <w:numId w:val="15"/>
        </w:numPr>
        <w:spacing w:after="120" w:line="228" w:lineRule="auto"/>
        <w:ind w:left="357" w:hanging="357"/>
        <w:jc w:val="both"/>
      </w:pPr>
      <w:r w:rsidRPr="003C699A">
        <w:t>Компарирование значений импеданса двух эталонов сопротивления 100 кОм (R1 и R2) и двух эталонов емкости 1000 пФ (С</w:t>
      </w:r>
      <w:proofErr w:type="gramStart"/>
      <w:r w:rsidRPr="003C699A">
        <w:t>1</w:t>
      </w:r>
      <w:proofErr w:type="gramEnd"/>
      <w:r w:rsidRPr="003C699A">
        <w:t xml:space="preserve"> и С2) в цепи квадратурного м</w:t>
      </w:r>
      <w:r w:rsidR="008C52D5">
        <w:t>оста (КвМ) при частоте f0</w:t>
      </w:r>
      <w:r w:rsidR="008C52D5">
        <w:br/>
      </w:r>
      <w:r w:rsidRPr="003C699A">
        <w:t xml:space="preserve">(~1592 Гц), создаваемой и контролируемой посредством квантового стандарта частоты (КСЧ) на основе Rb87, результат </w:t>
      </w:r>
      <w:r w:rsidR="008C52D5">
        <w:t>–</w:t>
      </w:r>
      <w:r w:rsidRPr="003C699A">
        <w:t xml:space="preserve"> </w:t>
      </w:r>
      <w:r w:rsidR="008C52D5">
        <w:t xml:space="preserve">значение </w:t>
      </w:r>
      <w:r w:rsidRPr="003C699A">
        <w:t>произведения (С1× С2) при частоте f0 (~1592 Гц);</w:t>
      </w:r>
    </w:p>
    <w:p w:rsidR="00952EE3" w:rsidRDefault="00E0112D" w:rsidP="008D03B1">
      <w:pPr>
        <w:pStyle w:val="aff2"/>
        <w:numPr>
          <w:ilvl w:val="0"/>
          <w:numId w:val="15"/>
        </w:numPr>
        <w:spacing w:after="120" w:line="228" w:lineRule="auto"/>
        <w:ind w:left="357" w:hanging="357"/>
        <w:jc w:val="both"/>
      </w:pPr>
      <w:r>
        <w:t>Измерение</w:t>
      </w:r>
      <w:proofErr w:type="gramStart"/>
      <w:r>
        <w:t xml:space="preserve"> ΔС</w:t>
      </w:r>
      <w:proofErr w:type="gramEnd"/>
      <w:r>
        <w:t xml:space="preserve"> = С2 – С1 в цепи трансформаторного моста-компаратора (ТМК) при отношении напряжений 1:1</w:t>
      </w:r>
      <w:r w:rsidR="00FA2D49">
        <w:t xml:space="preserve"> </w:t>
      </w:r>
      <w:r>
        <w:t>и расчет значений С1 и С2;</w:t>
      </w:r>
    </w:p>
    <w:p w:rsidR="00952EE3" w:rsidRDefault="00E0112D" w:rsidP="008D03B1">
      <w:pPr>
        <w:pStyle w:val="aff2"/>
        <w:numPr>
          <w:ilvl w:val="0"/>
          <w:numId w:val="15"/>
        </w:numPr>
        <w:spacing w:after="120" w:line="228" w:lineRule="auto"/>
        <w:ind w:left="357" w:hanging="357"/>
        <w:jc w:val="both"/>
      </w:pPr>
      <w:r>
        <w:t>Передача единицы электрической емкости от эталона С</w:t>
      </w:r>
      <w:proofErr w:type="gramStart"/>
      <w:r>
        <w:t>1</w:t>
      </w:r>
      <w:proofErr w:type="gramEnd"/>
      <w:r>
        <w:t xml:space="preserve"> (или С2) эталонам 100 пФ при частоте f0 в цепи ТМК (при отношении напряжения 10:1);</w:t>
      </w:r>
    </w:p>
    <w:p w:rsidR="00952EE3" w:rsidRDefault="00E0112D" w:rsidP="008D03B1">
      <w:pPr>
        <w:pStyle w:val="aff2"/>
        <w:numPr>
          <w:ilvl w:val="0"/>
          <w:numId w:val="15"/>
        </w:numPr>
        <w:spacing w:after="120" w:line="228" w:lineRule="auto"/>
        <w:ind w:left="357" w:hanging="357"/>
        <w:jc w:val="both"/>
      </w:pPr>
      <w:r>
        <w:t>Передача единицы электрической емкости от эталона 100 пФ частото-независимому эталону ёмкости (КМВ) 10 пФ при частоте f0</w:t>
      </w:r>
      <w:r w:rsidR="00245332">
        <w:t xml:space="preserve"> в цепи ТМК (при отношении 10:1</w:t>
      </w:r>
      <w:r w:rsidR="008C52D5">
        <w:t xml:space="preserve">) </w:t>
      </w:r>
      <w:r w:rsidR="00245332" w:rsidRPr="00245332">
        <w:t>[8]</w:t>
      </w:r>
      <w:r w:rsidR="008D03B1">
        <w:t>;</w:t>
      </w:r>
    </w:p>
    <w:p w:rsidR="00952EE3" w:rsidRDefault="00E0112D" w:rsidP="008D03B1">
      <w:pPr>
        <w:pStyle w:val="aff2"/>
        <w:numPr>
          <w:ilvl w:val="0"/>
          <w:numId w:val="15"/>
        </w:numPr>
        <w:spacing w:after="120" w:line="228" w:lineRule="auto"/>
        <w:ind w:left="357" w:hanging="357"/>
        <w:jc w:val="both"/>
      </w:pPr>
      <w:r>
        <w:t>Передача единицы электрической емкости от эталона КМВ 10 пФ конденсаторам группового эталона 10 пФ при частоте 1000 Гц в цепи ТМК (при отношении 10:1).</w:t>
      </w:r>
    </w:p>
    <w:p w:rsidR="00952EE3" w:rsidRDefault="00E0112D" w:rsidP="008D03B1">
      <w:pPr>
        <w:pStyle w:val="a3"/>
      </w:pPr>
      <w:r>
        <w:t xml:space="preserve">Схематически последовательность этапов исследований в упрощенном виде представлена на </w:t>
      </w:r>
      <w:r w:rsidR="008D03B1">
        <w:br/>
      </w:r>
      <w:r>
        <w:t>рис</w:t>
      </w:r>
      <w:r w:rsidR="008D03B1">
        <w:t>.</w:t>
      </w:r>
      <w:r>
        <w:t xml:space="preserve"> 1.</w:t>
      </w:r>
    </w:p>
    <w:p w:rsidR="008D03B1" w:rsidRDefault="008D03B1" w:rsidP="008D03B1">
      <w:pPr>
        <w:spacing w:line="228" w:lineRule="auto"/>
        <w:jc w:val="center"/>
      </w:pPr>
      <w:r>
        <w:rPr>
          <w:noProof/>
          <w:lang w:eastAsia="ru-RU"/>
        </w:rPr>
        <w:lastRenderedPageBreak/>
        <w:drawing>
          <wp:inline distT="0" distB="0" distL="0" distR="0" wp14:anchorId="52EDE08C" wp14:editId="0ACC42DD">
            <wp:extent cx="3100753" cy="366514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103115" cy="3667937"/>
                    </a:xfrm>
                    <a:prstGeom prst="rect">
                      <a:avLst/>
                    </a:prstGeom>
                    <a:noFill/>
                  </pic:spPr>
                </pic:pic>
              </a:graphicData>
            </a:graphic>
          </wp:inline>
        </w:drawing>
      </w:r>
    </w:p>
    <w:p w:rsidR="00952EE3" w:rsidRDefault="00E0112D" w:rsidP="008D03B1">
      <w:pPr>
        <w:pStyle w:val="a"/>
      </w:pPr>
      <w:r>
        <w:t>Цепь измерений, связывающих эталоны единиц электрического сопротивления и ёмкости</w:t>
      </w:r>
    </w:p>
    <w:p w:rsidR="00952EE3" w:rsidRDefault="008D03B1" w:rsidP="008D03B1">
      <w:pPr>
        <w:pStyle w:val="1"/>
      </w:pPr>
      <w:r>
        <w:t xml:space="preserve">Характерные особенности выполнения исследований на отдельных этапах цепи измерений во </w:t>
      </w:r>
      <w:r w:rsidR="00E0112D">
        <w:t>ВНИИМ</w:t>
      </w:r>
    </w:p>
    <w:p w:rsidR="00952EE3" w:rsidRDefault="00E0112D" w:rsidP="008D03B1">
      <w:pPr>
        <w:pStyle w:val="a3"/>
      </w:pPr>
      <w:r>
        <w:t>Работы этапа «1» выполняются на постоянном токе на аппаратуре из состава ГПЭ ГЭТ 14, которая включает в себя криомагнитную систему, обеспечивающую условия (магнитное поле 7,8</w:t>
      </w:r>
      <w:proofErr w:type="gramStart"/>
      <w:r w:rsidR="008D03B1">
        <w:t> </w:t>
      </w:r>
      <w:r>
        <w:t>Т</w:t>
      </w:r>
      <w:proofErr w:type="gramEnd"/>
      <w:r>
        <w:t>, температура 1,3 К) работы холловского преобразователя (микросхемы) постоянного тока, мост</w:t>
      </w:r>
      <w:r w:rsidR="004B5271">
        <w:t>а для измерения сопротивления н</w:t>
      </w:r>
      <w:r>
        <w:t>а основе компаратора токов (МКТ-1), мер</w:t>
      </w:r>
      <w:r w:rsidR="004B5271">
        <w:t xml:space="preserve"> сопротивления, а также средств</w:t>
      </w:r>
      <w:r>
        <w:t xml:space="preserve"> поддержания и контроля их температуры. Квантовое сопротивление Холла (КСХ) 12,9 кОм измеряется на втором плато (</w:t>
      </w:r>
      <w:r>
        <w:rPr>
          <w:i/>
          <w:iCs/>
        </w:rPr>
        <w:t>i</w:t>
      </w:r>
      <w:r>
        <w:t>=2) при токе 77 мкА.</w:t>
      </w:r>
    </w:p>
    <w:p w:rsidR="003C699A" w:rsidRDefault="00E0112D" w:rsidP="008D03B1">
      <w:pPr>
        <w:pStyle w:val="a3"/>
      </w:pPr>
      <w:r>
        <w:t xml:space="preserve">Процесс воспроизведения ома требует использования большого количества жидкого гелия и осуществляется один раз в год. </w:t>
      </w:r>
      <w:r w:rsidR="003C699A" w:rsidRPr="003C699A">
        <w:t>Хранение единицы электрического сопротивления осуществляется непрерывно посредством ряда групповых эталонов в широком диапазоне номинальных значений.</w:t>
      </w:r>
    </w:p>
    <w:p w:rsidR="00952EE3" w:rsidRDefault="00E0112D" w:rsidP="008D03B1">
      <w:pPr>
        <w:pStyle w:val="a3"/>
      </w:pPr>
      <w:r>
        <w:t>Остальные этапы работ по воспроизведению фарада выполняются в другом здании, но, поскольку они требуют постоян</w:t>
      </w:r>
      <w:r w:rsidR="008C52D5">
        <w:t xml:space="preserve">ного обращения к значению КСХ </w:t>
      </w:r>
      <w:r>
        <w:t>на предельно высоком ур</w:t>
      </w:r>
      <w:r w:rsidR="003C699A">
        <w:t>ов</w:t>
      </w:r>
      <w:r>
        <w:t>не точности, то в состав ГЭТ 25 введены дополнительные средств</w:t>
      </w:r>
      <w:r w:rsidR="004B5271">
        <w:t>а</w:t>
      </w:r>
      <w:r>
        <w:t xml:space="preserve"> измерения (СИ) сопротивления на постоянном токе, в том числе эталоны сопротивления (1-0-12,9) кОм и цифровой мост 6040Q на основе компаратора токов (МКТ-2) с разрешающей способностью 10</w:t>
      </w:r>
      <w:r>
        <w:rPr>
          <w:vertAlign w:val="superscript"/>
        </w:rPr>
        <w:t>-10</w:t>
      </w:r>
      <w:r>
        <w:t xml:space="preserve">. Мост МКТ-2 отличается повышенной точностью при передаче единицы эталонам 100 кОм.  </w:t>
      </w:r>
    </w:p>
    <w:p w:rsidR="006718C5" w:rsidRPr="006718C5" w:rsidRDefault="008D03B1" w:rsidP="008D03B1">
      <w:pPr>
        <w:pStyle w:val="a3"/>
      </w:pPr>
      <w:r>
        <w:br w:type="column"/>
      </w:r>
      <w:r w:rsidR="00E0112D">
        <w:lastRenderedPageBreak/>
        <w:t xml:space="preserve">Все измерения эталонов сопротивления и емкости на переменном токе выполняются при двухпарной (2ТР) схеме включения. Это означает, что значение каждого эталона определено в плоскости разъемов на концах коаксиальных кабелей, посредством которых эталон включается в измерительную цепь, то есть эти кабели являются неотъемлемой частью эталона, а их импеданс является частью импеданса эталона. Такое определение эталонов значительно упрощает электрические схемы измерительных цепей и сокращает число регулируемых параметров, необходимых для достижения их равновесия, но требует особые предосторожности для поддержания постоянства параметров кабелей. Наиболее критичными являются вариация контактного </w:t>
      </w:r>
      <w:proofErr w:type="gramStart"/>
      <w:r w:rsidR="00E0112D">
        <w:t>сопротивления разъемов кабелей эталонов сопротивления</w:t>
      </w:r>
      <w:proofErr w:type="gramEnd"/>
      <w:r w:rsidR="00E0112D">
        <w:t xml:space="preserve"> и изменение индуктивности при пер</w:t>
      </w:r>
      <w:r w:rsidR="006718C5">
        <w:t xml:space="preserve">егибе кабелей эталонов емкости. </w:t>
      </w:r>
      <w:r w:rsidR="006718C5" w:rsidRPr="006718C5">
        <w:t>Влияние этих факторов снижено применением разъемов типа ВРО (MUSA), вариация сопротивления которых не превышает 0,2 мОм, и кабелей RG 400 с двойным экраном и изоляцией из фторопласта (Ф-4). Остаточный эффект (менее 0,3∙10</w:t>
      </w:r>
      <w:r w:rsidR="006718C5" w:rsidRPr="006718C5">
        <w:rPr>
          <w:vertAlign w:val="superscript"/>
        </w:rPr>
        <w:t>-8</w:t>
      </w:r>
      <w:r w:rsidR="006718C5" w:rsidRPr="006718C5">
        <w:t>) учтен при оценке неопределенности.</w:t>
      </w:r>
    </w:p>
    <w:p w:rsidR="006718C5" w:rsidRPr="006718C5" w:rsidRDefault="006718C5" w:rsidP="008D03B1">
      <w:pPr>
        <w:pStyle w:val="a3"/>
      </w:pPr>
      <w:r w:rsidRPr="006718C5">
        <w:t>Стабильные</w:t>
      </w:r>
      <w:r w:rsidR="008C52D5">
        <w:t xml:space="preserve"> и одинаковые для всех эталонов</w:t>
      </w:r>
      <w:r w:rsidR="008C52D5">
        <w:br/>
      </w:r>
      <w:r w:rsidRPr="006718C5">
        <w:t>(R</w:t>
      </w:r>
      <w:r w:rsidRPr="006718C5">
        <w:rPr>
          <w:vertAlign w:val="subscript"/>
        </w:rPr>
        <w:t>1</w:t>
      </w:r>
      <w:r w:rsidRPr="006718C5">
        <w:t>, R</w:t>
      </w:r>
      <w:r w:rsidRPr="006718C5">
        <w:rPr>
          <w:vertAlign w:val="subscript"/>
        </w:rPr>
        <w:t>2</w:t>
      </w:r>
      <w:r w:rsidRPr="006718C5">
        <w:t>, C</w:t>
      </w:r>
      <w:r w:rsidRPr="006718C5">
        <w:rPr>
          <w:vertAlign w:val="subscript"/>
        </w:rPr>
        <w:t>1</w:t>
      </w:r>
      <w:r w:rsidRPr="006718C5">
        <w:t>, C</w:t>
      </w:r>
      <w:r w:rsidRPr="006718C5">
        <w:rPr>
          <w:vertAlign w:val="subscript"/>
        </w:rPr>
        <w:t>2</w:t>
      </w:r>
      <w:r w:rsidRPr="006718C5">
        <w:t>) температурные условия (20 ± 0,005) °C поддерживаются их размещением в едином объеме воздушного термостата (</w:t>
      </w:r>
      <w:r w:rsidRPr="006718C5">
        <w:rPr>
          <w:lang w:val="en-US"/>
        </w:rPr>
        <w:t>K</w:t>
      </w:r>
      <w:r w:rsidRPr="006718C5">
        <w:t>ambič TK-190US), установленного в помещении, температура которого регулируется в пределах (20 ± 0,5) °C. Такое решение полностью исключает неопределенность из-за изменения температуры по длине коаксиальнвх кабелей эталонов. Эталоны R1 и R2, предназначены для работы в режимах постоянного и переменного тока (DC/AC), разработаны во ВНИИМ на основе герметизированных резистивных элементов VHA516 (Vishay), прошедших длительный (более 20 лет) период старения. Исследования показали, что относительное отклонение действительных значений их сопротивления от номинального не превышает 18</w:t>
      </w:r>
      <w:r w:rsidRPr="006718C5">
        <w:rPr>
          <w:b/>
          <w:bCs/>
        </w:rPr>
        <w:t>∙</w:t>
      </w:r>
      <w:r w:rsidRPr="006718C5">
        <w:t>10</w:t>
      </w:r>
      <w:r w:rsidRPr="006718C5">
        <w:rPr>
          <w:vertAlign w:val="superscript"/>
        </w:rPr>
        <w:t>6</w:t>
      </w:r>
      <w:r w:rsidRPr="006718C5">
        <w:t xml:space="preserve">, </w:t>
      </w:r>
      <w:proofErr w:type="gramStart"/>
      <w:r w:rsidRPr="006718C5">
        <w:t>постоянная</w:t>
      </w:r>
      <w:proofErr w:type="gramEnd"/>
      <w:r w:rsidRPr="006718C5">
        <w:t xml:space="preserve"> времени </w:t>
      </w:r>
      <w:r w:rsidR="00A84B63">
        <w:rPr>
          <w:i/>
          <w:iCs/>
        </w:rPr>
        <w:t>τ</w:t>
      </w:r>
      <w:r w:rsidR="008C52D5">
        <w:rPr>
          <w:i/>
          <w:iCs/>
        </w:rPr>
        <w:t xml:space="preserve"> </w:t>
      </w:r>
      <w:r w:rsidRPr="006718C5">
        <w:t>&lt;5</w:t>
      </w:r>
      <w:r w:rsidRPr="006718C5">
        <w:rPr>
          <w:b/>
          <w:bCs/>
        </w:rPr>
        <w:t>∙</w:t>
      </w:r>
      <w:r w:rsidRPr="006718C5">
        <w:t>10</w:t>
      </w:r>
      <w:r w:rsidRPr="006718C5">
        <w:rPr>
          <w:vertAlign w:val="superscript"/>
        </w:rPr>
        <w:t>-9</w:t>
      </w:r>
      <w:r w:rsidR="00A84B63">
        <w:rPr>
          <w:vertAlign w:val="superscript"/>
        </w:rPr>
        <w:t xml:space="preserve"> </w:t>
      </w:r>
      <w:r w:rsidRPr="006718C5">
        <w:t xml:space="preserve">с, т. е. значение фазового угла (φ = </w:t>
      </w:r>
      <w:proofErr w:type="spellStart"/>
      <w:r w:rsidRPr="006718C5">
        <w:t>ω</w:t>
      </w:r>
      <w:r w:rsidR="003D0E53">
        <w:t>·</w:t>
      </w:r>
      <w:r w:rsidRPr="006718C5">
        <w:t>τ</w:t>
      </w:r>
      <w:proofErr w:type="spellEnd"/>
      <w:r w:rsidRPr="006718C5">
        <w:t>) не превышает 5.10</w:t>
      </w:r>
      <w:r w:rsidRPr="006718C5">
        <w:rPr>
          <w:vertAlign w:val="superscript"/>
        </w:rPr>
        <w:t>-5</w:t>
      </w:r>
      <w:r w:rsidRPr="006718C5">
        <w:t xml:space="preserve"> радиан при частоте 1592</w:t>
      </w:r>
      <w:r w:rsidR="005A70FF">
        <w:t> </w:t>
      </w:r>
      <w:r w:rsidRPr="006718C5">
        <w:t>Гц. Экспериментальные исследования, выполненные методом «частотной экстраполяции» [7] с применением уникального РРЧХ 100 кОм при частотах до 1 МГц, показали, что значения сопротивления эталонов R1 и R2 изменяются менее</w:t>
      </w:r>
      <w:proofErr w:type="gramStart"/>
      <w:r w:rsidRPr="006718C5">
        <w:t>,</w:t>
      </w:r>
      <w:proofErr w:type="gramEnd"/>
      <w:r w:rsidRPr="006718C5">
        <w:t xml:space="preserve"> чем на 0,0005 Ом при перемене режима измерений от постоянного тока</w:t>
      </w:r>
      <w:r w:rsidR="003D0E53">
        <w:t xml:space="preserve"> на переменный частотой 1592 Гц [</w:t>
      </w:r>
      <w:r w:rsidR="001B76EC">
        <w:t>8]</w:t>
      </w:r>
      <w:r w:rsidR="001B76EC" w:rsidRPr="001B76EC">
        <w:t xml:space="preserve">. </w:t>
      </w:r>
      <w:r w:rsidRPr="006718C5">
        <w:t>В эталонах С</w:t>
      </w:r>
      <w:proofErr w:type="gramStart"/>
      <w:r w:rsidRPr="006718C5">
        <w:t>1</w:t>
      </w:r>
      <w:proofErr w:type="gramEnd"/>
      <w:r w:rsidRPr="006718C5">
        <w:t xml:space="preserve"> и С2 квадратурного моста использованы герметизированные емкостные элементы конденсаторов серийного производства GR1404-А, значение температурного коэффициента (ТКЕ) которых не превышают 3∙10</w:t>
      </w:r>
      <w:r w:rsidRPr="006718C5">
        <w:rPr>
          <w:vertAlign w:val="superscript"/>
        </w:rPr>
        <w:t>-6</w:t>
      </w:r>
      <w:r w:rsidRPr="006718C5">
        <w:t>К</w:t>
      </w:r>
      <w:r w:rsidRPr="006718C5">
        <w:rPr>
          <w:vertAlign w:val="superscript"/>
        </w:rPr>
        <w:t>-1</w:t>
      </w:r>
      <w:r w:rsidRPr="006718C5">
        <w:t>. После проведения нескольких циклов подгонки относительное отклонение действительного значения емкости эталонов С</w:t>
      </w:r>
      <w:proofErr w:type="gramStart"/>
      <w:r w:rsidRPr="006718C5">
        <w:t>1</w:t>
      </w:r>
      <w:proofErr w:type="gramEnd"/>
      <w:r w:rsidRPr="006718C5">
        <w:t xml:space="preserve"> и С2 от номинального не превышает 2∙10</w:t>
      </w:r>
      <w:r w:rsidRPr="006718C5">
        <w:rPr>
          <w:vertAlign w:val="superscript"/>
        </w:rPr>
        <w:t>-6</w:t>
      </w:r>
      <w:r w:rsidRPr="006718C5">
        <w:t>.</w:t>
      </w:r>
    </w:p>
    <w:p w:rsidR="00952EE3" w:rsidRDefault="00E0112D" w:rsidP="008D03B1">
      <w:pPr>
        <w:pStyle w:val="a3"/>
      </w:pPr>
      <w:r>
        <w:t xml:space="preserve">В разработанных мостовых измерительных цепях – КвМ и ТМК – использованы преимущества применения прямого цифрового синтеза (DDS) при создании, обработке и детектировании измерительных сигналов, </w:t>
      </w:r>
      <w:r>
        <w:lastRenderedPageBreak/>
        <w:t xml:space="preserve">что позволило использовать регулирование частоты для уравновешивания КвМ и упростить уравновешивание квадратурной составляющей в ТМК. Уравновешивание частото-зависимого КвМ достигается изменением частоты функционального генератора SRS DS345 с дискретностью 1 </w:t>
      </w:r>
      <w:proofErr w:type="spellStart"/>
      <w:r>
        <w:t>мкГ</w:t>
      </w:r>
      <w:r w:rsidR="007C0BDA">
        <w:t>ц</w:t>
      </w:r>
      <w:proofErr w:type="spellEnd"/>
      <w:r>
        <w:t>. Выходной сигнал, регулируемый в пределах от 10 мВ до 10</w:t>
      </w:r>
      <w:proofErr w:type="gramStart"/>
      <w:r>
        <w:t xml:space="preserve"> В</w:t>
      </w:r>
      <w:proofErr w:type="gramEnd"/>
      <w:r>
        <w:t xml:space="preserve"> (p-p), может быть синхронизирован с внешним</w:t>
      </w:r>
      <w:r w:rsidR="008D03B1">
        <w:t xml:space="preserve"> опорным источником частотой </w:t>
      </w:r>
      <w:r>
        <w:t xml:space="preserve">10 МГц и иметь плавающий потенциал до </w:t>
      </w:r>
      <w:r w:rsidR="005A70FF">
        <w:br/>
      </w:r>
      <w:r>
        <w:rPr>
          <w:b/>
          <w:bCs/>
        </w:rPr>
        <w:t>±</w:t>
      </w:r>
      <w:r w:rsidR="005A70FF">
        <w:rPr>
          <w:b/>
          <w:bCs/>
        </w:rPr>
        <w:t> </w:t>
      </w:r>
      <w:r>
        <w:t xml:space="preserve">40 В относительно «земли». При номинальном значении частоты равновесия КвМ 1591,5494309 Гц реальное отклонение от нее, необходимое для достижения равновесия, не превышает 24 </w:t>
      </w:r>
      <w:proofErr w:type="spellStart"/>
      <w:r>
        <w:t>мГц</w:t>
      </w:r>
      <w:proofErr w:type="spellEnd"/>
      <w:r>
        <w:t>. Частота регулируемого сигнала измеряется частотомером SR625 с разрешением 12 разрядов. Опорный сигнал («</w:t>
      </w:r>
      <w:proofErr w:type="spellStart"/>
      <w:r>
        <w:t>time-base</w:t>
      </w:r>
      <w:proofErr w:type="spellEnd"/>
      <w:r>
        <w:t xml:space="preserve">») 10 МГц создается рубидиевым стандартом частоты PRS10 в составе </w:t>
      </w:r>
      <w:r w:rsidR="007C0BDA">
        <w:t>частотомера. Для уравновешивания</w:t>
      </w:r>
      <w:r>
        <w:t xml:space="preserve"> вторичных параметров квадратурного моста применяется конденсатор переменной емкости, действительное значение емкости которого измеряется в процессе уравновешивания автоматическим цифровым мостом АН 2700. </w:t>
      </w:r>
      <w:proofErr w:type="gramStart"/>
      <w:r>
        <w:t>Выходной сигнал КвМ обрабатывается цифровым синхронным усилителем SR830, отличающимся малым входным шумом (мен</w:t>
      </w:r>
      <w:r w:rsidR="005A70FF">
        <w:t>ее 6 </w:t>
      </w:r>
      <w:r>
        <w:t>нВ/(Гц)</w:t>
      </w:r>
      <w:r>
        <w:rPr>
          <w:vertAlign w:val="superscript"/>
        </w:rPr>
        <w:t>1/2</w:t>
      </w:r>
      <w:r>
        <w:t xml:space="preserve"> и эффективным (-90 дБ) подавлением интермодуляционных помех.</w:t>
      </w:r>
      <w:proofErr w:type="gramEnd"/>
      <w:r>
        <w:t xml:space="preserve"> Связь опорных </w:t>
      </w:r>
      <w:r w:rsidR="0029759C">
        <w:t>каналов всех приборов сигналами</w:t>
      </w:r>
      <w:r w:rsidR="008D03B1">
        <w:t xml:space="preserve"> </w:t>
      </w:r>
      <w:r>
        <w:t>TTL-уровня позволяет синхронно изменять частоту их настройки. Аналогичн</w:t>
      </w:r>
      <w:r w:rsidR="006718C5">
        <w:t>ые</w:t>
      </w:r>
      <w:r>
        <w:t xml:space="preserve"> системы создания/детектирования </w:t>
      </w:r>
      <w:r w:rsidR="006718C5">
        <w:t>измерительного сигнала использую</w:t>
      </w:r>
      <w:r>
        <w:t>тся в цепи ТМК, но с применением генератора SRS DS360, отличающ</w:t>
      </w:r>
      <w:r w:rsidR="006718C5">
        <w:t>его</w:t>
      </w:r>
      <w:r>
        <w:t>ся низким уровнем общих гармонических искажений (THD &lt;0,001%)</w:t>
      </w:r>
      <w:r w:rsidR="007F55F8">
        <w:t>,</w:t>
      </w:r>
      <w:r>
        <w:t xml:space="preserve"> возможностью установления значения выходного сигнала в диапазоне до 40</w:t>
      </w:r>
      <w:proofErr w:type="gramStart"/>
      <w:r>
        <w:t xml:space="preserve"> В</w:t>
      </w:r>
      <w:proofErr w:type="gramEnd"/>
      <w:r>
        <w:t xml:space="preserve"> (р-р).</w:t>
      </w:r>
    </w:p>
    <w:p w:rsidR="006718C5" w:rsidRPr="006718C5" w:rsidRDefault="006718C5" w:rsidP="005A70FF">
      <w:pPr>
        <w:pStyle w:val="a3"/>
      </w:pPr>
      <w:r w:rsidRPr="006718C5">
        <w:t>Процесс уравновешивания КвМ является итерационным, как и у всех мостовых цепей, и требует многократного повторения всей последовательности регулировок, но два вспомогательных баланса («баланс источника» и «баланс детектора») достигаются быстро и их совокупный эффект сохраняется устойчиво.</w:t>
      </w:r>
    </w:p>
    <w:p w:rsidR="006718C5" w:rsidRDefault="006718C5" w:rsidP="008D03B1">
      <w:pPr>
        <w:pStyle w:val="a3"/>
      </w:pPr>
      <w:r w:rsidRPr="006718C5">
        <w:t>Следует отметить, что приведенное выше уравнение равновесия КвМ является упрощенным, а полное уравнение содержит еще два десятка дополнительных членов. Дополнительные члены образованы произведениями четного числа (2 и 4) сомножителе</w:t>
      </w:r>
      <w:r w:rsidR="005A70FF">
        <w:t xml:space="preserve">й – остаточных параметров φ и </w:t>
      </w:r>
      <w:proofErr w:type="gramStart"/>
      <w:r w:rsidR="005A70FF">
        <w:t>δ</w:t>
      </w:r>
      <w:r w:rsidRPr="006718C5">
        <w:t>-</w:t>
      </w:r>
      <w:proofErr w:type="gramEnd"/>
      <w:r w:rsidRPr="006718C5">
        <w:t xml:space="preserve">эталонов в плечах </w:t>
      </w:r>
      <w:proofErr w:type="spellStart"/>
      <w:r w:rsidRPr="006718C5">
        <w:t>КвМ</w:t>
      </w:r>
      <w:proofErr w:type="spellEnd"/>
      <w:r w:rsidRPr="006718C5">
        <w:t>. При указанных выше значениях φ и δ суммарный эффект этих членов пренебрежимо мал, но соответствующий источник неопределённости учтён в бюджете.</w:t>
      </w:r>
    </w:p>
    <w:p w:rsidR="00952EE3" w:rsidRDefault="008D03B1" w:rsidP="008D03B1">
      <w:pPr>
        <w:pStyle w:val="1"/>
      </w:pPr>
      <w:r>
        <w:t>Оценка неопределённости результатов измерений</w:t>
      </w:r>
    </w:p>
    <w:p w:rsidR="00952EE3" w:rsidRPr="006718C5" w:rsidRDefault="007F55F8" w:rsidP="008D03B1">
      <w:pPr>
        <w:pStyle w:val="a3"/>
      </w:pPr>
      <w:r>
        <w:t>Результаты оценки</w:t>
      </w:r>
      <w:r w:rsidR="00E0112D">
        <w:t xml:space="preserve"> неопределённости (1-σ) результатов измерений </w:t>
      </w:r>
      <w:r w:rsidR="006718C5">
        <w:t xml:space="preserve">на основных этапах </w:t>
      </w:r>
      <w:r w:rsidR="00E0112D">
        <w:t>«цепи измерений» приведены в табл</w:t>
      </w:r>
      <w:r w:rsidR="008D03B1">
        <w:t>.</w:t>
      </w:r>
      <w:r w:rsidR="00E0112D">
        <w:t xml:space="preserve"> 1. Для наглядности результаты представлены в виде пяти групп (</w:t>
      </w:r>
      <w:r w:rsidR="00E0112D">
        <w:rPr>
          <w:lang w:val="en-US"/>
        </w:rPr>
        <w:t>A</w:t>
      </w:r>
      <w:r w:rsidR="00E0112D">
        <w:t xml:space="preserve">, </w:t>
      </w:r>
      <w:r w:rsidR="00E0112D">
        <w:rPr>
          <w:lang w:val="en-US"/>
        </w:rPr>
        <w:t>B</w:t>
      </w:r>
      <w:r w:rsidR="00E0112D">
        <w:t xml:space="preserve">, </w:t>
      </w:r>
      <w:r w:rsidR="00E0112D">
        <w:rPr>
          <w:lang w:val="en-US"/>
        </w:rPr>
        <w:t>C</w:t>
      </w:r>
      <w:r w:rsidR="00E0112D">
        <w:t xml:space="preserve">, D, </w:t>
      </w:r>
      <w:r w:rsidR="00E0112D">
        <w:rPr>
          <w:lang w:val="en-US"/>
        </w:rPr>
        <w:t>E</w:t>
      </w:r>
      <w:r w:rsidR="00E0112D">
        <w:t xml:space="preserve">), соответствующих </w:t>
      </w:r>
      <w:r w:rsidR="00E0112D" w:rsidRPr="006718C5">
        <w:t>целям выполняемых работ.</w:t>
      </w:r>
    </w:p>
    <w:p w:rsidR="00FC3CD9" w:rsidRDefault="00FC3CD9">
      <w:pPr>
        <w:jc w:val="both"/>
        <w:rPr>
          <w:sz w:val="16"/>
          <w:szCs w:val="16"/>
        </w:rPr>
        <w:sectPr w:rsidR="00FC3CD9" w:rsidSect="008D03B1">
          <w:type w:val="continuous"/>
          <w:pgSz w:w="11906" w:h="16838" w:code="9"/>
          <w:pgMar w:top="907" w:right="907" w:bottom="1440" w:left="907" w:header="709" w:footer="709" w:gutter="0"/>
          <w:cols w:num="2" w:space="340"/>
          <w:formProt w:val="0"/>
          <w:docGrid w:linePitch="360"/>
        </w:sectPr>
      </w:pPr>
    </w:p>
    <w:p w:rsidR="00952EE3" w:rsidRDefault="008D03B1" w:rsidP="008D03B1">
      <w:pPr>
        <w:pStyle w:val="a1"/>
        <w:ind w:hanging="153"/>
      </w:pPr>
      <w:r>
        <w:lastRenderedPageBreak/>
        <w:br w:type="column"/>
      </w:r>
      <w:r w:rsidR="00E0112D" w:rsidRPr="006718C5">
        <w:lastRenderedPageBreak/>
        <w:t>ИЗМЕРИТЕЛЬНАЯ</w:t>
      </w:r>
      <w:r w:rsidR="00E0112D" w:rsidRPr="006718C5">
        <w:rPr>
          <w:b/>
          <w:bCs/>
        </w:rPr>
        <w:t xml:space="preserve"> </w:t>
      </w:r>
      <w:r w:rsidR="00E0112D" w:rsidRPr="006718C5">
        <w:t>ЦЕПЬ, СВЯЗЫВАЮЩАЯ ЭТАЛОНЫ ЭЛЕКТРИЧЕСКО</w:t>
      </w:r>
      <w:r w:rsidR="006718C5" w:rsidRPr="006718C5">
        <w:t>ГО</w:t>
      </w:r>
      <w:r w:rsidR="00E0112D" w:rsidRPr="006718C5">
        <w:t xml:space="preserve"> СОПРОТИВЛЕНИ</w:t>
      </w:r>
      <w:r w:rsidR="006718C5" w:rsidRPr="006718C5">
        <w:t>Я И ЁМКОСТИ</w:t>
      </w:r>
      <w:r w:rsidR="00E0112D" w:rsidRPr="006718C5">
        <w:t xml:space="preserve">: ОЦЕНКА ОТНОСИТЕЛЬНОЙ НЕОПРЕДЕЛЁННОСТИ (1-σ) </w:t>
      </w:r>
      <w:proofErr w:type="spellStart"/>
      <w:r w:rsidR="00E0112D" w:rsidRPr="006718C5">
        <w:rPr>
          <w:i/>
          <w:iCs/>
        </w:rPr>
        <w:t>u</w:t>
      </w:r>
      <w:r w:rsidR="00E0112D" w:rsidRPr="006718C5">
        <w:rPr>
          <w:i/>
          <w:iCs/>
          <w:vertAlign w:val="subscript"/>
        </w:rPr>
        <w:t>R</w:t>
      </w:r>
      <w:proofErr w:type="spellEnd"/>
      <w:r w:rsidR="00E0112D" w:rsidRPr="006718C5">
        <w:t xml:space="preserve"> (СОСТАВЛЯЮЩИЕ И СРЕДНЕКВАДРАТИЧЕСКОЕ ЗНАЧЕНИЕ)</w:t>
      </w:r>
    </w:p>
    <w:tbl>
      <w:tblPr>
        <w:tblStyle w:val="aff7"/>
        <w:tblW w:w="9345" w:type="dxa"/>
        <w:jc w:val="center"/>
        <w:tblLayout w:type="fixed"/>
        <w:tblLook w:val="0480" w:firstRow="0" w:lastRow="0" w:firstColumn="1" w:lastColumn="0" w:noHBand="0" w:noVBand="1"/>
      </w:tblPr>
      <w:tblGrid>
        <w:gridCol w:w="4813"/>
        <w:gridCol w:w="711"/>
        <w:gridCol w:w="1249"/>
        <w:gridCol w:w="2572"/>
      </w:tblGrid>
      <w:tr w:rsidR="00952EE3" w:rsidTr="008D03B1">
        <w:trPr>
          <w:jc w:val="center"/>
        </w:trPr>
        <w:tc>
          <w:tcPr>
            <w:tcW w:w="4813" w:type="dxa"/>
            <w:tcBorders>
              <w:right w:val="nil"/>
            </w:tcBorders>
            <w:vAlign w:val="center"/>
          </w:tcPr>
          <w:p w:rsidR="00952EE3" w:rsidRPr="00C13B20" w:rsidRDefault="00E0112D" w:rsidP="00A6168B">
            <w:pPr>
              <w:jc w:val="center"/>
              <w:rPr>
                <w:b/>
                <w:sz w:val="16"/>
                <w:szCs w:val="16"/>
              </w:rPr>
            </w:pPr>
            <w:r w:rsidRPr="00C13B20">
              <w:rPr>
                <w:b/>
                <w:sz w:val="16"/>
                <w:szCs w:val="16"/>
              </w:rPr>
              <w:t>Источник неопределённости</w:t>
            </w:r>
          </w:p>
        </w:tc>
        <w:tc>
          <w:tcPr>
            <w:tcW w:w="711" w:type="dxa"/>
            <w:tcBorders>
              <w:right w:val="nil"/>
            </w:tcBorders>
            <w:vAlign w:val="center"/>
          </w:tcPr>
          <w:p w:rsidR="00952EE3" w:rsidRPr="00F03A7A" w:rsidRDefault="00E0112D" w:rsidP="00A6168B">
            <w:pPr>
              <w:jc w:val="center"/>
              <w:rPr>
                <w:b/>
                <w:sz w:val="16"/>
                <w:szCs w:val="16"/>
              </w:rPr>
            </w:pPr>
            <w:r w:rsidRPr="00F03A7A">
              <w:rPr>
                <w:b/>
                <w:sz w:val="16"/>
                <w:szCs w:val="16"/>
              </w:rPr>
              <w:t>Тип</w:t>
            </w:r>
          </w:p>
        </w:tc>
        <w:tc>
          <w:tcPr>
            <w:tcW w:w="1249" w:type="dxa"/>
            <w:tcBorders>
              <w:right w:val="nil"/>
            </w:tcBorders>
            <w:vAlign w:val="center"/>
          </w:tcPr>
          <w:p w:rsidR="00A6168B" w:rsidRPr="00F03A7A" w:rsidRDefault="00E0112D" w:rsidP="00A6168B">
            <w:pPr>
              <w:jc w:val="center"/>
              <w:rPr>
                <w:b/>
                <w:sz w:val="16"/>
                <w:szCs w:val="16"/>
              </w:rPr>
            </w:pPr>
            <w:r w:rsidRPr="00F03A7A">
              <w:rPr>
                <w:b/>
                <w:sz w:val="16"/>
                <w:szCs w:val="16"/>
              </w:rPr>
              <w:t>Значение,</w:t>
            </w:r>
          </w:p>
          <w:p w:rsidR="00952EE3" w:rsidRPr="00F03A7A" w:rsidRDefault="0056300D" w:rsidP="0056300D">
            <w:pPr>
              <w:jc w:val="center"/>
              <w:rPr>
                <w:b/>
                <w:sz w:val="16"/>
                <w:szCs w:val="16"/>
              </w:rPr>
            </w:pPr>
            <w:proofErr w:type="spellStart"/>
            <w:r w:rsidRPr="00F03A7A">
              <w:rPr>
                <w:i/>
                <w:sz w:val="16"/>
                <w:szCs w:val="16"/>
                <w:lang w:val="en-US"/>
              </w:rPr>
              <w:t>u</w:t>
            </w:r>
            <w:r w:rsidRPr="00F03A7A">
              <w:rPr>
                <w:b/>
                <w:i/>
                <w:sz w:val="16"/>
                <w:szCs w:val="16"/>
                <w:vertAlign w:val="subscript"/>
                <w:lang w:val="en-US"/>
              </w:rPr>
              <w:t>R</w:t>
            </w:r>
            <w:proofErr w:type="spellEnd"/>
            <w:r w:rsidR="00A6168B" w:rsidRPr="00F03A7A">
              <w:rPr>
                <w:b/>
                <w:i/>
                <w:sz w:val="16"/>
                <w:szCs w:val="16"/>
              </w:rPr>
              <w:t xml:space="preserve"> </w:t>
            </w:r>
            <w:r w:rsidR="00E0112D" w:rsidRPr="00F03A7A">
              <w:rPr>
                <w:b/>
                <w:sz w:val="16"/>
                <w:szCs w:val="16"/>
              </w:rPr>
              <w:t>× 10</w:t>
            </w:r>
            <w:r w:rsidR="00E0112D" w:rsidRPr="00F03A7A">
              <w:rPr>
                <w:b/>
                <w:sz w:val="16"/>
                <w:szCs w:val="16"/>
                <w:vertAlign w:val="superscript"/>
              </w:rPr>
              <w:t>-8</w:t>
            </w:r>
          </w:p>
        </w:tc>
        <w:tc>
          <w:tcPr>
            <w:tcW w:w="2572" w:type="dxa"/>
            <w:vAlign w:val="center"/>
          </w:tcPr>
          <w:p w:rsidR="00952EE3" w:rsidRPr="00C13B20" w:rsidRDefault="00E0112D" w:rsidP="00A6168B">
            <w:pPr>
              <w:jc w:val="center"/>
              <w:rPr>
                <w:b/>
                <w:sz w:val="16"/>
                <w:szCs w:val="16"/>
              </w:rPr>
            </w:pPr>
            <w:r w:rsidRPr="00C13B20">
              <w:rPr>
                <w:b/>
                <w:sz w:val="16"/>
                <w:szCs w:val="16"/>
              </w:rPr>
              <w:t>Комментарии</w:t>
            </w:r>
          </w:p>
        </w:tc>
      </w:tr>
      <w:tr w:rsidR="00952EE3" w:rsidTr="008D03B1">
        <w:trPr>
          <w:jc w:val="center"/>
        </w:trPr>
        <w:tc>
          <w:tcPr>
            <w:tcW w:w="9345" w:type="dxa"/>
            <w:gridSpan w:val="4"/>
            <w:vAlign w:val="center"/>
          </w:tcPr>
          <w:p w:rsidR="00952EE3" w:rsidRPr="00F03A7A" w:rsidRDefault="00E0112D">
            <w:pPr>
              <w:jc w:val="center"/>
              <w:rPr>
                <w:sz w:val="16"/>
                <w:szCs w:val="16"/>
              </w:rPr>
            </w:pPr>
            <w:r w:rsidRPr="00F03A7A">
              <w:rPr>
                <w:b/>
                <w:bCs/>
                <w:sz w:val="16"/>
                <w:szCs w:val="16"/>
              </w:rPr>
              <w:t>Квантовые эталоны</w:t>
            </w:r>
          </w:p>
        </w:tc>
      </w:tr>
      <w:tr w:rsidR="00952EE3" w:rsidTr="008D03B1">
        <w:trPr>
          <w:jc w:val="center"/>
        </w:trPr>
        <w:tc>
          <w:tcPr>
            <w:tcW w:w="4813" w:type="dxa"/>
            <w:tcBorders>
              <w:right w:val="nil"/>
            </w:tcBorders>
            <w:vAlign w:val="center"/>
          </w:tcPr>
          <w:p w:rsidR="00952EE3" w:rsidRPr="00C13B20" w:rsidRDefault="00E0112D">
            <w:pPr>
              <w:jc w:val="both"/>
              <w:rPr>
                <w:sz w:val="16"/>
                <w:szCs w:val="16"/>
              </w:rPr>
            </w:pPr>
            <w:r w:rsidRPr="00C13B20">
              <w:rPr>
                <w:sz w:val="16"/>
                <w:szCs w:val="16"/>
              </w:rPr>
              <w:t>КСХ (Комплекс ГЭТ</w:t>
            </w:r>
            <w:r w:rsidR="00A6168B" w:rsidRPr="00C13B20">
              <w:rPr>
                <w:sz w:val="16"/>
                <w:szCs w:val="16"/>
              </w:rPr>
              <w:t xml:space="preserve"> </w:t>
            </w:r>
            <w:r w:rsidRPr="00C13B20">
              <w:rPr>
                <w:sz w:val="16"/>
                <w:szCs w:val="16"/>
              </w:rPr>
              <w:t>14)</w:t>
            </w:r>
          </w:p>
        </w:tc>
        <w:tc>
          <w:tcPr>
            <w:tcW w:w="711" w:type="dxa"/>
            <w:tcBorders>
              <w:right w:val="nil"/>
            </w:tcBorders>
            <w:vAlign w:val="center"/>
          </w:tcPr>
          <w:p w:rsidR="00952EE3" w:rsidRPr="00F03A7A" w:rsidRDefault="00E0112D">
            <w:pPr>
              <w:jc w:val="center"/>
              <w:rPr>
                <w:sz w:val="16"/>
                <w:szCs w:val="16"/>
              </w:rPr>
            </w:pPr>
            <w:r w:rsidRPr="00F03A7A">
              <w:rPr>
                <w:sz w:val="16"/>
                <w:szCs w:val="16"/>
              </w:rPr>
              <w:t>В</w:t>
            </w:r>
          </w:p>
        </w:tc>
        <w:tc>
          <w:tcPr>
            <w:tcW w:w="1249" w:type="dxa"/>
            <w:tcBorders>
              <w:right w:val="nil"/>
            </w:tcBorders>
            <w:vAlign w:val="center"/>
          </w:tcPr>
          <w:p w:rsidR="00952EE3" w:rsidRPr="00F03A7A" w:rsidRDefault="00E0112D">
            <w:pPr>
              <w:jc w:val="center"/>
              <w:rPr>
                <w:sz w:val="16"/>
                <w:szCs w:val="16"/>
              </w:rPr>
            </w:pPr>
            <w:r w:rsidRPr="00F03A7A">
              <w:rPr>
                <w:sz w:val="16"/>
                <w:szCs w:val="16"/>
              </w:rPr>
              <w:t>1</w:t>
            </w:r>
          </w:p>
        </w:tc>
        <w:tc>
          <w:tcPr>
            <w:tcW w:w="2572" w:type="dxa"/>
            <w:vAlign w:val="center"/>
          </w:tcPr>
          <w:p w:rsidR="00952EE3" w:rsidRPr="00C13B20" w:rsidRDefault="00E0112D">
            <w:pPr>
              <w:jc w:val="both"/>
              <w:rPr>
                <w:sz w:val="16"/>
                <w:szCs w:val="16"/>
              </w:rPr>
            </w:pPr>
            <w:r w:rsidRPr="00C13B20">
              <w:rPr>
                <w:sz w:val="16"/>
                <w:szCs w:val="16"/>
              </w:rPr>
              <w:t>Эталон 1 кОм</w:t>
            </w:r>
          </w:p>
        </w:tc>
      </w:tr>
      <w:tr w:rsidR="00952EE3" w:rsidTr="008D03B1">
        <w:trPr>
          <w:jc w:val="center"/>
        </w:trPr>
        <w:tc>
          <w:tcPr>
            <w:tcW w:w="4813" w:type="dxa"/>
            <w:tcBorders>
              <w:right w:val="nil"/>
            </w:tcBorders>
            <w:vAlign w:val="center"/>
          </w:tcPr>
          <w:p w:rsidR="00952EE3" w:rsidRPr="00C13B20" w:rsidRDefault="00E0112D">
            <w:pPr>
              <w:jc w:val="both"/>
              <w:rPr>
                <w:sz w:val="16"/>
                <w:szCs w:val="16"/>
              </w:rPr>
            </w:pPr>
            <w:r w:rsidRPr="00C13B20">
              <w:rPr>
                <w:sz w:val="16"/>
                <w:szCs w:val="16"/>
              </w:rPr>
              <w:t>Рубидиевый стандарт частоты PRS10</w:t>
            </w:r>
          </w:p>
        </w:tc>
        <w:tc>
          <w:tcPr>
            <w:tcW w:w="711" w:type="dxa"/>
            <w:tcBorders>
              <w:right w:val="nil"/>
            </w:tcBorders>
            <w:vAlign w:val="center"/>
          </w:tcPr>
          <w:p w:rsidR="00952EE3" w:rsidRPr="00F03A7A" w:rsidRDefault="00E0112D">
            <w:pPr>
              <w:jc w:val="center"/>
              <w:rPr>
                <w:sz w:val="16"/>
                <w:szCs w:val="16"/>
              </w:rPr>
            </w:pPr>
            <w:r w:rsidRPr="00F03A7A">
              <w:rPr>
                <w:sz w:val="16"/>
                <w:szCs w:val="16"/>
              </w:rPr>
              <w:t>В</w:t>
            </w:r>
          </w:p>
        </w:tc>
        <w:tc>
          <w:tcPr>
            <w:tcW w:w="1249" w:type="dxa"/>
            <w:tcBorders>
              <w:right w:val="nil"/>
            </w:tcBorders>
            <w:vAlign w:val="center"/>
          </w:tcPr>
          <w:p w:rsidR="00952EE3" w:rsidRPr="00F03A7A" w:rsidRDefault="00E0112D">
            <w:pPr>
              <w:jc w:val="center"/>
              <w:rPr>
                <w:sz w:val="16"/>
                <w:szCs w:val="16"/>
              </w:rPr>
            </w:pPr>
            <w:r w:rsidRPr="00F03A7A">
              <w:rPr>
                <w:sz w:val="16"/>
                <w:szCs w:val="16"/>
              </w:rPr>
              <w:t>0,001</w:t>
            </w:r>
          </w:p>
        </w:tc>
        <w:tc>
          <w:tcPr>
            <w:tcW w:w="2572" w:type="dxa"/>
            <w:vAlign w:val="center"/>
          </w:tcPr>
          <w:p w:rsidR="00952EE3" w:rsidRPr="00C13B20" w:rsidRDefault="00E0112D">
            <w:pPr>
              <w:jc w:val="both"/>
              <w:rPr>
                <w:sz w:val="16"/>
                <w:szCs w:val="16"/>
              </w:rPr>
            </w:pPr>
            <w:r w:rsidRPr="00C13B20">
              <w:rPr>
                <w:sz w:val="16"/>
                <w:szCs w:val="16"/>
              </w:rPr>
              <w:t>В составе SR625</w:t>
            </w:r>
          </w:p>
        </w:tc>
      </w:tr>
      <w:tr w:rsidR="00952EE3" w:rsidTr="008D03B1">
        <w:trPr>
          <w:jc w:val="center"/>
        </w:trPr>
        <w:tc>
          <w:tcPr>
            <w:tcW w:w="9345" w:type="dxa"/>
            <w:gridSpan w:val="4"/>
            <w:vAlign w:val="center"/>
          </w:tcPr>
          <w:p w:rsidR="00952EE3" w:rsidRPr="00F03A7A" w:rsidRDefault="00E0112D">
            <w:pPr>
              <w:jc w:val="center"/>
              <w:rPr>
                <w:sz w:val="16"/>
                <w:szCs w:val="16"/>
              </w:rPr>
            </w:pPr>
            <w:r w:rsidRPr="00F03A7A">
              <w:rPr>
                <w:b/>
                <w:bCs/>
                <w:sz w:val="16"/>
                <w:szCs w:val="16"/>
              </w:rPr>
              <w:t>Калибровка резисторов R1 и R2 (f = 1592 Гц)</w:t>
            </w:r>
          </w:p>
        </w:tc>
      </w:tr>
      <w:tr w:rsidR="00952EE3" w:rsidTr="008D03B1">
        <w:trPr>
          <w:jc w:val="center"/>
        </w:trPr>
        <w:tc>
          <w:tcPr>
            <w:tcW w:w="4813" w:type="dxa"/>
            <w:tcBorders>
              <w:right w:val="nil"/>
            </w:tcBorders>
            <w:vAlign w:val="center"/>
          </w:tcPr>
          <w:p w:rsidR="00A6168B" w:rsidRPr="00C13B20" w:rsidRDefault="00A6168B">
            <w:pPr>
              <w:jc w:val="both"/>
              <w:rPr>
                <w:sz w:val="16"/>
                <w:szCs w:val="16"/>
              </w:rPr>
            </w:pPr>
            <w:r w:rsidRPr="00C13B20">
              <w:rPr>
                <w:sz w:val="16"/>
                <w:szCs w:val="16"/>
              </w:rPr>
              <w:t>Транспортиров</w:t>
            </w:r>
            <w:r w:rsidR="00E0112D" w:rsidRPr="00C13B20">
              <w:rPr>
                <w:sz w:val="16"/>
                <w:szCs w:val="16"/>
              </w:rPr>
              <w:t>а</w:t>
            </w:r>
            <w:r w:rsidRPr="00C13B20">
              <w:rPr>
                <w:sz w:val="16"/>
                <w:szCs w:val="16"/>
              </w:rPr>
              <w:t>ние</w:t>
            </w:r>
            <w:r w:rsidR="00E0112D" w:rsidRPr="00C13B20">
              <w:rPr>
                <w:sz w:val="16"/>
                <w:szCs w:val="16"/>
              </w:rPr>
              <w:t xml:space="preserve"> и хранение эталонов </w:t>
            </w:r>
          </w:p>
          <w:p w:rsidR="00952EE3" w:rsidRPr="00C13B20" w:rsidRDefault="00E0112D">
            <w:pPr>
              <w:jc w:val="both"/>
              <w:rPr>
                <w:sz w:val="16"/>
                <w:szCs w:val="16"/>
              </w:rPr>
            </w:pPr>
            <w:r w:rsidRPr="00C13B20">
              <w:rPr>
                <w:sz w:val="16"/>
                <w:szCs w:val="16"/>
              </w:rPr>
              <w:t>1 -10-12,9 кОм</w:t>
            </w:r>
          </w:p>
        </w:tc>
        <w:tc>
          <w:tcPr>
            <w:tcW w:w="711" w:type="dxa"/>
            <w:tcBorders>
              <w:right w:val="nil"/>
            </w:tcBorders>
            <w:vAlign w:val="center"/>
          </w:tcPr>
          <w:p w:rsidR="00952EE3" w:rsidRPr="00F03A7A" w:rsidRDefault="00E0112D">
            <w:pPr>
              <w:jc w:val="center"/>
              <w:rPr>
                <w:sz w:val="16"/>
                <w:szCs w:val="16"/>
              </w:rPr>
            </w:pPr>
            <w:r w:rsidRPr="00F03A7A">
              <w:rPr>
                <w:sz w:val="16"/>
                <w:szCs w:val="16"/>
              </w:rPr>
              <w:t>А</w:t>
            </w:r>
          </w:p>
        </w:tc>
        <w:tc>
          <w:tcPr>
            <w:tcW w:w="1249" w:type="dxa"/>
            <w:tcBorders>
              <w:right w:val="nil"/>
            </w:tcBorders>
            <w:vAlign w:val="center"/>
          </w:tcPr>
          <w:p w:rsidR="00952EE3" w:rsidRPr="00F03A7A" w:rsidRDefault="00E0112D">
            <w:pPr>
              <w:jc w:val="center"/>
              <w:rPr>
                <w:sz w:val="16"/>
                <w:szCs w:val="16"/>
              </w:rPr>
            </w:pPr>
            <w:r w:rsidRPr="00F03A7A">
              <w:rPr>
                <w:sz w:val="16"/>
                <w:szCs w:val="16"/>
              </w:rPr>
              <w:t>1</w:t>
            </w:r>
          </w:p>
        </w:tc>
        <w:tc>
          <w:tcPr>
            <w:tcW w:w="2572" w:type="dxa"/>
            <w:vAlign w:val="center"/>
          </w:tcPr>
          <w:p w:rsidR="00952EE3" w:rsidRPr="00C13B20" w:rsidRDefault="00E0112D">
            <w:pPr>
              <w:jc w:val="both"/>
              <w:rPr>
                <w:sz w:val="16"/>
                <w:szCs w:val="16"/>
              </w:rPr>
            </w:pPr>
            <w:r w:rsidRPr="00C13B20">
              <w:rPr>
                <w:sz w:val="16"/>
                <w:szCs w:val="16"/>
              </w:rPr>
              <w:t xml:space="preserve"> После перемещения</w:t>
            </w:r>
          </w:p>
        </w:tc>
      </w:tr>
      <w:tr w:rsidR="00952EE3" w:rsidTr="008D03B1">
        <w:trPr>
          <w:jc w:val="center"/>
        </w:trPr>
        <w:tc>
          <w:tcPr>
            <w:tcW w:w="4813" w:type="dxa"/>
            <w:tcBorders>
              <w:right w:val="nil"/>
            </w:tcBorders>
            <w:vAlign w:val="center"/>
          </w:tcPr>
          <w:p w:rsidR="00952EE3" w:rsidRPr="00C13B20" w:rsidRDefault="00E0112D">
            <w:pPr>
              <w:jc w:val="both"/>
              <w:rPr>
                <w:sz w:val="16"/>
                <w:szCs w:val="16"/>
              </w:rPr>
            </w:pPr>
            <w:r w:rsidRPr="00C13B20">
              <w:rPr>
                <w:sz w:val="16"/>
                <w:szCs w:val="16"/>
              </w:rPr>
              <w:t>Передача единицы (1-100) кОм (пост. ток)</w:t>
            </w:r>
          </w:p>
        </w:tc>
        <w:tc>
          <w:tcPr>
            <w:tcW w:w="711" w:type="dxa"/>
            <w:tcBorders>
              <w:right w:val="nil"/>
            </w:tcBorders>
            <w:vAlign w:val="center"/>
          </w:tcPr>
          <w:p w:rsidR="00952EE3" w:rsidRPr="00F03A7A" w:rsidRDefault="00E0112D">
            <w:pPr>
              <w:jc w:val="center"/>
              <w:rPr>
                <w:sz w:val="16"/>
                <w:szCs w:val="16"/>
              </w:rPr>
            </w:pPr>
            <w:r w:rsidRPr="00F03A7A">
              <w:rPr>
                <w:sz w:val="16"/>
                <w:szCs w:val="16"/>
              </w:rPr>
              <w:t>А</w:t>
            </w:r>
          </w:p>
        </w:tc>
        <w:tc>
          <w:tcPr>
            <w:tcW w:w="1249" w:type="dxa"/>
            <w:tcBorders>
              <w:right w:val="nil"/>
            </w:tcBorders>
            <w:vAlign w:val="center"/>
          </w:tcPr>
          <w:p w:rsidR="00952EE3" w:rsidRPr="00F03A7A" w:rsidRDefault="00C93FC5">
            <w:pPr>
              <w:jc w:val="center"/>
              <w:rPr>
                <w:sz w:val="16"/>
                <w:szCs w:val="16"/>
              </w:rPr>
            </w:pPr>
            <w:r w:rsidRPr="00F03A7A">
              <w:rPr>
                <w:sz w:val="16"/>
                <w:szCs w:val="16"/>
              </w:rPr>
              <w:t>4,2</w:t>
            </w:r>
          </w:p>
        </w:tc>
        <w:tc>
          <w:tcPr>
            <w:tcW w:w="2572" w:type="dxa"/>
            <w:vAlign w:val="center"/>
          </w:tcPr>
          <w:p w:rsidR="00952EE3" w:rsidRPr="00C13B20" w:rsidRDefault="00E0112D">
            <w:pPr>
              <w:jc w:val="both"/>
              <w:rPr>
                <w:sz w:val="16"/>
                <w:szCs w:val="16"/>
              </w:rPr>
            </w:pPr>
            <w:r w:rsidRPr="00C13B20">
              <w:rPr>
                <w:sz w:val="16"/>
                <w:szCs w:val="16"/>
              </w:rPr>
              <w:t>Отношение 1:100 МКТ–2, шум</w:t>
            </w:r>
          </w:p>
        </w:tc>
      </w:tr>
      <w:tr w:rsidR="00952EE3" w:rsidTr="008D03B1">
        <w:trPr>
          <w:jc w:val="center"/>
        </w:trPr>
        <w:tc>
          <w:tcPr>
            <w:tcW w:w="4813" w:type="dxa"/>
            <w:tcBorders>
              <w:right w:val="nil"/>
            </w:tcBorders>
            <w:vAlign w:val="center"/>
          </w:tcPr>
          <w:p w:rsidR="00952EE3" w:rsidRPr="00C13B20" w:rsidRDefault="00E0112D">
            <w:pPr>
              <w:jc w:val="both"/>
              <w:rPr>
                <w:sz w:val="16"/>
                <w:szCs w:val="16"/>
              </w:rPr>
            </w:pPr>
            <w:r w:rsidRPr="00C13B20">
              <w:rPr>
                <w:sz w:val="16"/>
                <w:szCs w:val="16"/>
              </w:rPr>
              <w:t>Поправка «постоянный-переменный ток»</w:t>
            </w:r>
          </w:p>
        </w:tc>
        <w:tc>
          <w:tcPr>
            <w:tcW w:w="711" w:type="dxa"/>
            <w:tcBorders>
              <w:right w:val="nil"/>
            </w:tcBorders>
            <w:vAlign w:val="center"/>
          </w:tcPr>
          <w:p w:rsidR="00952EE3" w:rsidRPr="00F03A7A" w:rsidRDefault="00E0112D">
            <w:pPr>
              <w:jc w:val="center"/>
              <w:rPr>
                <w:sz w:val="16"/>
                <w:szCs w:val="16"/>
              </w:rPr>
            </w:pPr>
            <w:r w:rsidRPr="00F03A7A">
              <w:rPr>
                <w:sz w:val="16"/>
                <w:szCs w:val="16"/>
              </w:rPr>
              <w:t>А, В</w:t>
            </w:r>
          </w:p>
        </w:tc>
        <w:tc>
          <w:tcPr>
            <w:tcW w:w="1249" w:type="dxa"/>
            <w:tcBorders>
              <w:right w:val="nil"/>
            </w:tcBorders>
            <w:vAlign w:val="center"/>
          </w:tcPr>
          <w:p w:rsidR="00952EE3" w:rsidRPr="00F03A7A" w:rsidRDefault="00E0112D">
            <w:pPr>
              <w:jc w:val="center"/>
              <w:rPr>
                <w:sz w:val="16"/>
                <w:szCs w:val="16"/>
              </w:rPr>
            </w:pPr>
            <w:r w:rsidRPr="00F03A7A">
              <w:rPr>
                <w:sz w:val="16"/>
                <w:szCs w:val="16"/>
              </w:rPr>
              <w:t>1,6</w:t>
            </w:r>
          </w:p>
        </w:tc>
        <w:tc>
          <w:tcPr>
            <w:tcW w:w="2572" w:type="dxa"/>
            <w:vAlign w:val="center"/>
          </w:tcPr>
          <w:p w:rsidR="00952EE3" w:rsidRPr="00C13B20" w:rsidRDefault="00952EE3">
            <w:pPr>
              <w:jc w:val="both"/>
              <w:rPr>
                <w:sz w:val="16"/>
                <w:szCs w:val="16"/>
              </w:rPr>
            </w:pPr>
          </w:p>
        </w:tc>
      </w:tr>
      <w:tr w:rsidR="00952EE3" w:rsidTr="008D03B1">
        <w:trPr>
          <w:jc w:val="center"/>
        </w:trPr>
        <w:tc>
          <w:tcPr>
            <w:tcW w:w="4813" w:type="dxa"/>
            <w:tcBorders>
              <w:right w:val="nil"/>
            </w:tcBorders>
            <w:vAlign w:val="center"/>
          </w:tcPr>
          <w:p w:rsidR="00952EE3" w:rsidRPr="00C13B20" w:rsidRDefault="00E0112D">
            <w:pPr>
              <w:jc w:val="both"/>
              <w:rPr>
                <w:sz w:val="16"/>
                <w:szCs w:val="16"/>
              </w:rPr>
            </w:pPr>
            <w:r w:rsidRPr="00C13B20">
              <w:rPr>
                <w:sz w:val="16"/>
                <w:szCs w:val="16"/>
              </w:rPr>
              <w:t>В том числе:</w:t>
            </w:r>
          </w:p>
          <w:p w:rsidR="00952EE3" w:rsidRPr="00C13B20" w:rsidRDefault="00E0112D">
            <w:pPr>
              <w:jc w:val="both"/>
              <w:rPr>
                <w:sz w:val="16"/>
                <w:szCs w:val="16"/>
              </w:rPr>
            </w:pPr>
            <w:r w:rsidRPr="00C13B20">
              <w:rPr>
                <w:sz w:val="16"/>
                <w:szCs w:val="16"/>
              </w:rPr>
              <w:t>- теоретическая оценка расчетных моделей РРЧХ,</w:t>
            </w:r>
          </w:p>
          <w:p w:rsidR="00952EE3" w:rsidRPr="00C13B20" w:rsidRDefault="00E0112D">
            <w:pPr>
              <w:jc w:val="both"/>
              <w:rPr>
                <w:sz w:val="16"/>
                <w:szCs w:val="16"/>
              </w:rPr>
            </w:pPr>
            <w:r w:rsidRPr="00C13B20">
              <w:rPr>
                <w:sz w:val="16"/>
                <w:szCs w:val="16"/>
              </w:rPr>
              <w:t>- измерение РРЧХ f =(0,01–1) МГц,</w:t>
            </w:r>
          </w:p>
          <w:p w:rsidR="00952EE3" w:rsidRPr="00C13B20" w:rsidRDefault="00E0112D">
            <w:pPr>
              <w:jc w:val="both"/>
              <w:rPr>
                <w:sz w:val="16"/>
                <w:szCs w:val="16"/>
              </w:rPr>
            </w:pPr>
            <w:r w:rsidRPr="00C13B20">
              <w:rPr>
                <w:sz w:val="16"/>
                <w:szCs w:val="16"/>
              </w:rPr>
              <w:t>- расчет поправок RLC-метра,</w:t>
            </w:r>
          </w:p>
          <w:p w:rsidR="00952EE3" w:rsidRPr="00C13B20" w:rsidRDefault="00E0112D">
            <w:pPr>
              <w:jc w:val="both"/>
              <w:rPr>
                <w:sz w:val="16"/>
                <w:szCs w:val="16"/>
              </w:rPr>
            </w:pPr>
            <w:r w:rsidRPr="00C13B20">
              <w:rPr>
                <w:sz w:val="16"/>
                <w:szCs w:val="16"/>
              </w:rPr>
              <w:t>- измерение R1 и R2 f =(0,01–1) МГц,</w:t>
            </w:r>
          </w:p>
          <w:p w:rsidR="00952EE3" w:rsidRPr="00C13B20" w:rsidRDefault="00E0112D">
            <w:pPr>
              <w:jc w:val="both"/>
              <w:rPr>
                <w:sz w:val="16"/>
                <w:szCs w:val="16"/>
              </w:rPr>
            </w:pPr>
            <w:r w:rsidRPr="00C13B20">
              <w:rPr>
                <w:sz w:val="16"/>
                <w:szCs w:val="16"/>
              </w:rPr>
              <w:t>-  расчет методом «частотной экстраполяции»</w:t>
            </w:r>
          </w:p>
        </w:tc>
        <w:tc>
          <w:tcPr>
            <w:tcW w:w="711" w:type="dxa"/>
            <w:tcBorders>
              <w:right w:val="nil"/>
            </w:tcBorders>
            <w:vAlign w:val="center"/>
          </w:tcPr>
          <w:p w:rsidR="00952EE3" w:rsidRPr="00F03A7A" w:rsidRDefault="00952EE3">
            <w:pPr>
              <w:jc w:val="center"/>
              <w:rPr>
                <w:sz w:val="16"/>
                <w:szCs w:val="16"/>
              </w:rPr>
            </w:pPr>
          </w:p>
        </w:tc>
        <w:tc>
          <w:tcPr>
            <w:tcW w:w="1249" w:type="dxa"/>
            <w:tcBorders>
              <w:right w:val="nil"/>
            </w:tcBorders>
            <w:vAlign w:val="center"/>
          </w:tcPr>
          <w:p w:rsidR="00952EE3" w:rsidRPr="00F03A7A" w:rsidRDefault="00952EE3">
            <w:pPr>
              <w:jc w:val="center"/>
              <w:rPr>
                <w:sz w:val="16"/>
                <w:szCs w:val="16"/>
              </w:rPr>
            </w:pPr>
          </w:p>
          <w:p w:rsidR="00952EE3" w:rsidRPr="00F03A7A" w:rsidRDefault="00C93FC5">
            <w:pPr>
              <w:jc w:val="center"/>
              <w:rPr>
                <w:sz w:val="16"/>
                <w:szCs w:val="16"/>
              </w:rPr>
            </w:pPr>
            <w:r w:rsidRPr="00F03A7A">
              <w:rPr>
                <w:sz w:val="16"/>
                <w:szCs w:val="16"/>
              </w:rPr>
              <w:t>0,5</w:t>
            </w:r>
          </w:p>
          <w:p w:rsidR="00952EE3" w:rsidRPr="00F03A7A" w:rsidRDefault="00E0112D">
            <w:pPr>
              <w:jc w:val="center"/>
              <w:rPr>
                <w:sz w:val="16"/>
                <w:szCs w:val="16"/>
              </w:rPr>
            </w:pPr>
            <w:r w:rsidRPr="00F03A7A">
              <w:rPr>
                <w:sz w:val="16"/>
                <w:szCs w:val="16"/>
              </w:rPr>
              <w:t>1,0</w:t>
            </w:r>
          </w:p>
          <w:p w:rsidR="00952EE3" w:rsidRPr="00F03A7A" w:rsidRDefault="00E0112D">
            <w:pPr>
              <w:jc w:val="center"/>
              <w:rPr>
                <w:sz w:val="16"/>
                <w:szCs w:val="16"/>
              </w:rPr>
            </w:pPr>
            <w:r w:rsidRPr="00F03A7A">
              <w:rPr>
                <w:sz w:val="16"/>
                <w:szCs w:val="16"/>
              </w:rPr>
              <w:t>0,</w:t>
            </w:r>
            <w:r w:rsidR="00C93FC5" w:rsidRPr="00F03A7A">
              <w:rPr>
                <w:sz w:val="16"/>
                <w:szCs w:val="16"/>
              </w:rPr>
              <w:t>5</w:t>
            </w:r>
          </w:p>
          <w:p w:rsidR="00952EE3" w:rsidRPr="00F03A7A" w:rsidRDefault="00E0112D">
            <w:pPr>
              <w:jc w:val="center"/>
              <w:rPr>
                <w:sz w:val="16"/>
                <w:szCs w:val="16"/>
              </w:rPr>
            </w:pPr>
            <w:r w:rsidRPr="00F03A7A">
              <w:rPr>
                <w:sz w:val="16"/>
                <w:szCs w:val="16"/>
              </w:rPr>
              <w:t>1,0</w:t>
            </w:r>
          </w:p>
          <w:p w:rsidR="00952EE3" w:rsidRPr="00F03A7A" w:rsidRDefault="00E0112D">
            <w:pPr>
              <w:jc w:val="center"/>
              <w:rPr>
                <w:sz w:val="16"/>
                <w:szCs w:val="16"/>
              </w:rPr>
            </w:pPr>
            <w:r w:rsidRPr="00F03A7A">
              <w:rPr>
                <w:sz w:val="16"/>
                <w:szCs w:val="16"/>
              </w:rPr>
              <w:t>0,3</w:t>
            </w:r>
          </w:p>
        </w:tc>
        <w:tc>
          <w:tcPr>
            <w:tcW w:w="2572" w:type="dxa"/>
            <w:vAlign w:val="center"/>
          </w:tcPr>
          <w:p w:rsidR="00952EE3" w:rsidRPr="00C13B20" w:rsidRDefault="00A6168B">
            <w:pPr>
              <w:jc w:val="both"/>
              <w:rPr>
                <w:sz w:val="16"/>
                <w:szCs w:val="16"/>
              </w:rPr>
            </w:pPr>
            <w:r w:rsidRPr="00C13B20">
              <w:rPr>
                <w:sz w:val="16"/>
                <w:szCs w:val="16"/>
              </w:rPr>
              <w:t>RLC-метр</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Кратковременная стабильность</w:t>
            </w:r>
          </w:p>
        </w:tc>
        <w:tc>
          <w:tcPr>
            <w:tcW w:w="711" w:type="dxa"/>
            <w:tcBorders>
              <w:right w:val="nil"/>
            </w:tcBorders>
            <w:vAlign w:val="center"/>
          </w:tcPr>
          <w:p w:rsidR="00C93FC5" w:rsidRPr="00F03A7A" w:rsidRDefault="00C93FC5" w:rsidP="00C93FC5">
            <w:pPr>
              <w:jc w:val="center"/>
              <w:rPr>
                <w:sz w:val="16"/>
                <w:szCs w:val="16"/>
              </w:rPr>
            </w:pP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1,0</w:t>
            </w:r>
          </w:p>
        </w:tc>
        <w:tc>
          <w:tcPr>
            <w:tcW w:w="2572" w:type="dxa"/>
            <w:vAlign w:val="center"/>
          </w:tcPr>
          <w:p w:rsidR="00C93FC5" w:rsidRPr="00C13B20" w:rsidRDefault="00C93FC5" w:rsidP="00C93FC5">
            <w:pPr>
              <w:jc w:val="both"/>
              <w:rPr>
                <w:sz w:val="16"/>
                <w:szCs w:val="16"/>
              </w:rPr>
            </w:pPr>
            <w:r w:rsidRPr="00C13B20">
              <w:rPr>
                <w:sz w:val="16"/>
                <w:szCs w:val="16"/>
              </w:rPr>
              <w:t>Коаксиальные кабели (3 м)</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Повторяемость</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1,4</w:t>
            </w:r>
          </w:p>
        </w:tc>
        <w:tc>
          <w:tcPr>
            <w:tcW w:w="2572" w:type="dxa"/>
            <w:vAlign w:val="center"/>
          </w:tcPr>
          <w:p w:rsidR="00C93FC5" w:rsidRPr="00C13B20" w:rsidRDefault="00C93FC5" w:rsidP="00C93FC5">
            <w:pPr>
              <w:jc w:val="both"/>
              <w:rPr>
                <w:sz w:val="16"/>
                <w:szCs w:val="16"/>
              </w:rPr>
            </w:pPr>
            <w:r w:rsidRPr="00C13B20">
              <w:rPr>
                <w:sz w:val="16"/>
                <w:szCs w:val="16"/>
              </w:rPr>
              <w:t>СКО среднего (n =10)</w:t>
            </w:r>
          </w:p>
        </w:tc>
      </w:tr>
      <w:tr w:rsidR="00C93FC5" w:rsidTr="008D03B1">
        <w:trPr>
          <w:jc w:val="center"/>
        </w:trPr>
        <w:tc>
          <w:tcPr>
            <w:tcW w:w="4813" w:type="dxa"/>
            <w:tcBorders>
              <w:bottom w:val="single" w:sz="12" w:space="0" w:color="000000"/>
              <w:right w:val="nil"/>
            </w:tcBorders>
            <w:vAlign w:val="center"/>
          </w:tcPr>
          <w:p w:rsidR="00C93FC5" w:rsidRPr="00C13B20" w:rsidRDefault="00C93FC5" w:rsidP="00C93FC5">
            <w:pPr>
              <w:jc w:val="both"/>
              <w:rPr>
                <w:sz w:val="16"/>
                <w:szCs w:val="16"/>
              </w:rPr>
            </w:pPr>
            <w:r w:rsidRPr="00C13B20">
              <w:rPr>
                <w:sz w:val="16"/>
                <w:szCs w:val="16"/>
              </w:rPr>
              <w:t>Итого</w:t>
            </w:r>
          </w:p>
        </w:tc>
        <w:tc>
          <w:tcPr>
            <w:tcW w:w="711" w:type="dxa"/>
            <w:tcBorders>
              <w:bottom w:val="single" w:sz="12" w:space="0" w:color="000000"/>
              <w:right w:val="nil"/>
            </w:tcBorders>
            <w:vAlign w:val="center"/>
          </w:tcPr>
          <w:p w:rsidR="00C93FC5" w:rsidRPr="00F03A7A" w:rsidRDefault="00C93FC5" w:rsidP="00C93FC5">
            <w:pPr>
              <w:jc w:val="center"/>
              <w:rPr>
                <w:sz w:val="16"/>
                <w:szCs w:val="16"/>
              </w:rPr>
            </w:pPr>
          </w:p>
        </w:tc>
        <w:tc>
          <w:tcPr>
            <w:tcW w:w="1249" w:type="dxa"/>
            <w:tcBorders>
              <w:bottom w:val="single" w:sz="12" w:space="0" w:color="000000"/>
              <w:right w:val="nil"/>
            </w:tcBorders>
            <w:vAlign w:val="center"/>
          </w:tcPr>
          <w:p w:rsidR="00C93FC5" w:rsidRPr="00F03A7A" w:rsidRDefault="00C93FC5" w:rsidP="00C93FC5">
            <w:pPr>
              <w:jc w:val="center"/>
              <w:rPr>
                <w:sz w:val="16"/>
                <w:szCs w:val="16"/>
              </w:rPr>
            </w:pPr>
            <w:r w:rsidRPr="00F03A7A">
              <w:rPr>
                <w:sz w:val="16"/>
                <w:szCs w:val="16"/>
              </w:rPr>
              <w:t>4,9</w:t>
            </w:r>
          </w:p>
        </w:tc>
        <w:tc>
          <w:tcPr>
            <w:tcW w:w="2572" w:type="dxa"/>
            <w:tcBorders>
              <w:bottom w:val="single" w:sz="12" w:space="0" w:color="000000"/>
            </w:tcBorders>
            <w:vAlign w:val="center"/>
          </w:tcPr>
          <w:p w:rsidR="00C93FC5" w:rsidRPr="00C13B20" w:rsidRDefault="00C93FC5" w:rsidP="00C93FC5">
            <w:pPr>
              <w:jc w:val="both"/>
              <w:rPr>
                <w:sz w:val="16"/>
                <w:szCs w:val="16"/>
              </w:rPr>
            </w:pPr>
          </w:p>
        </w:tc>
      </w:tr>
      <w:tr w:rsidR="00952EE3" w:rsidTr="008D03B1">
        <w:trPr>
          <w:jc w:val="center"/>
        </w:trPr>
        <w:tc>
          <w:tcPr>
            <w:tcW w:w="9345" w:type="dxa"/>
            <w:gridSpan w:val="4"/>
            <w:vAlign w:val="center"/>
          </w:tcPr>
          <w:p w:rsidR="00952EE3" w:rsidRPr="00F03A7A" w:rsidRDefault="00E0112D">
            <w:pPr>
              <w:jc w:val="center"/>
              <w:rPr>
                <w:sz w:val="16"/>
                <w:szCs w:val="16"/>
              </w:rPr>
            </w:pPr>
            <w:r w:rsidRPr="00F03A7A">
              <w:rPr>
                <w:b/>
                <w:bCs/>
                <w:sz w:val="16"/>
                <w:szCs w:val="16"/>
              </w:rPr>
              <w:t>Квадратурный мост</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2ТР - определение резисторов</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1,6</w:t>
            </w:r>
          </w:p>
        </w:tc>
        <w:tc>
          <w:tcPr>
            <w:tcW w:w="2572" w:type="dxa"/>
            <w:vAlign w:val="center"/>
          </w:tcPr>
          <w:p w:rsidR="00C93FC5" w:rsidRPr="00C13B20" w:rsidRDefault="00C93FC5" w:rsidP="00C93FC5">
            <w:pPr>
              <w:jc w:val="both"/>
              <w:rPr>
                <w:sz w:val="16"/>
                <w:szCs w:val="16"/>
              </w:rPr>
            </w:pP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Вариация контактного сопротивления разъёмов</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0,8</w:t>
            </w:r>
          </w:p>
        </w:tc>
        <w:tc>
          <w:tcPr>
            <w:tcW w:w="2572" w:type="dxa"/>
            <w:vAlign w:val="center"/>
          </w:tcPr>
          <w:p w:rsidR="00C93FC5" w:rsidRPr="00C13B20" w:rsidRDefault="00C93FC5" w:rsidP="00C93FC5">
            <w:pPr>
              <w:jc w:val="both"/>
              <w:rPr>
                <w:sz w:val="16"/>
                <w:szCs w:val="16"/>
              </w:rPr>
            </w:pPr>
            <w:r w:rsidRPr="00C13B20">
              <w:rPr>
                <w:sz w:val="16"/>
                <w:szCs w:val="16"/>
              </w:rPr>
              <w:t>BPO(MUSA)</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Повторяемость 2ТР значений ёмкости конденсаторов</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0,5</w:t>
            </w:r>
          </w:p>
        </w:tc>
        <w:tc>
          <w:tcPr>
            <w:tcW w:w="2572" w:type="dxa"/>
            <w:vAlign w:val="center"/>
          </w:tcPr>
          <w:p w:rsidR="00C93FC5" w:rsidRPr="00C13B20" w:rsidRDefault="00C93FC5" w:rsidP="00C93FC5">
            <w:pPr>
              <w:jc w:val="both"/>
              <w:rPr>
                <w:sz w:val="16"/>
                <w:szCs w:val="16"/>
              </w:rPr>
            </w:pPr>
            <w:r w:rsidRPr="00C13B20">
              <w:rPr>
                <w:sz w:val="16"/>
                <w:szCs w:val="16"/>
              </w:rPr>
              <w:t>С учётом кабелей (3 м)</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Основной баланс</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2,3</w:t>
            </w:r>
          </w:p>
        </w:tc>
        <w:tc>
          <w:tcPr>
            <w:tcW w:w="2572" w:type="dxa"/>
            <w:vAlign w:val="center"/>
          </w:tcPr>
          <w:p w:rsidR="00C93FC5" w:rsidRPr="00C13B20" w:rsidRDefault="00C93FC5" w:rsidP="00C93FC5">
            <w:pPr>
              <w:jc w:val="both"/>
              <w:rPr>
                <w:sz w:val="16"/>
                <w:szCs w:val="16"/>
              </w:rPr>
            </w:pP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Взаимный эффект φ и tgδ эталонов R1-R2-C1-C2</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0,6</w:t>
            </w:r>
          </w:p>
        </w:tc>
        <w:tc>
          <w:tcPr>
            <w:tcW w:w="2572" w:type="dxa"/>
            <w:vAlign w:val="center"/>
          </w:tcPr>
          <w:p w:rsidR="00C93FC5" w:rsidRPr="00C13B20" w:rsidRDefault="00C93FC5" w:rsidP="00C93FC5">
            <w:pPr>
              <w:jc w:val="both"/>
              <w:rPr>
                <w:sz w:val="16"/>
                <w:szCs w:val="16"/>
              </w:rPr>
            </w:pPr>
            <w:r w:rsidRPr="00C13B20">
              <w:rPr>
                <w:sz w:val="16"/>
                <w:szCs w:val="16"/>
              </w:rPr>
              <w:t>Уравнение измерений КвМ</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Нестабильность температуры</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0,6</w:t>
            </w:r>
          </w:p>
        </w:tc>
        <w:tc>
          <w:tcPr>
            <w:tcW w:w="2572" w:type="dxa"/>
            <w:vAlign w:val="center"/>
          </w:tcPr>
          <w:p w:rsidR="00C93FC5" w:rsidRPr="00C13B20" w:rsidRDefault="00C93FC5" w:rsidP="00C93FC5">
            <w:pPr>
              <w:jc w:val="both"/>
              <w:rPr>
                <w:sz w:val="16"/>
                <w:szCs w:val="16"/>
              </w:rPr>
            </w:pPr>
            <w:r w:rsidRPr="00C13B20">
              <w:rPr>
                <w:sz w:val="16"/>
                <w:szCs w:val="16"/>
              </w:rPr>
              <w:t>|</w:t>
            </w:r>
            <w:proofErr w:type="spellStart"/>
            <w:r w:rsidRPr="00C13B20">
              <w:rPr>
                <w:sz w:val="16"/>
                <w:szCs w:val="16"/>
              </w:rPr>
              <w:t>Δt</w:t>
            </w:r>
            <w:proofErr w:type="spellEnd"/>
            <w:r w:rsidRPr="00C13B20">
              <w:rPr>
                <w:sz w:val="16"/>
                <w:szCs w:val="16"/>
              </w:rPr>
              <w:t>| &lt; 0,01 K</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Поправка к отношению 1:1 ИДН при реверсировании</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1,2</w:t>
            </w:r>
          </w:p>
        </w:tc>
        <w:tc>
          <w:tcPr>
            <w:tcW w:w="2572" w:type="dxa"/>
            <w:vAlign w:val="center"/>
          </w:tcPr>
          <w:p w:rsidR="00C93FC5" w:rsidRPr="00C13B20" w:rsidRDefault="00C93FC5" w:rsidP="00C93FC5">
            <w:pPr>
              <w:jc w:val="both"/>
              <w:rPr>
                <w:sz w:val="16"/>
                <w:szCs w:val="16"/>
              </w:rPr>
            </w:pPr>
            <w:r w:rsidRPr="00C13B20">
              <w:rPr>
                <w:sz w:val="16"/>
                <w:szCs w:val="16"/>
              </w:rPr>
              <w:t>В процессе измерений</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Нелинейные искажения (намагничивание, размещение)</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0,5</w:t>
            </w:r>
          </w:p>
        </w:tc>
        <w:tc>
          <w:tcPr>
            <w:tcW w:w="2572" w:type="dxa"/>
            <w:vAlign w:val="center"/>
          </w:tcPr>
          <w:p w:rsidR="00C93FC5" w:rsidRPr="00C13B20" w:rsidRDefault="00C93FC5" w:rsidP="00C93FC5">
            <w:pPr>
              <w:jc w:val="both"/>
              <w:rPr>
                <w:sz w:val="16"/>
                <w:szCs w:val="16"/>
              </w:rPr>
            </w:pPr>
            <w:r w:rsidRPr="00C13B20">
              <w:rPr>
                <w:sz w:val="16"/>
                <w:szCs w:val="16"/>
              </w:rPr>
              <w:t>Коаксиальные дроссели</w:t>
            </w:r>
          </w:p>
          <w:p w:rsidR="00C93FC5" w:rsidRPr="00C13B20" w:rsidRDefault="00C93FC5" w:rsidP="00C93FC5">
            <w:pPr>
              <w:jc w:val="both"/>
              <w:rPr>
                <w:sz w:val="16"/>
                <w:szCs w:val="16"/>
              </w:rPr>
            </w:pP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Повторяемость</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2,6</w:t>
            </w:r>
          </w:p>
        </w:tc>
        <w:tc>
          <w:tcPr>
            <w:tcW w:w="2572" w:type="dxa"/>
            <w:vAlign w:val="center"/>
          </w:tcPr>
          <w:p w:rsidR="00C93FC5" w:rsidRPr="00C13B20" w:rsidRDefault="00C93FC5" w:rsidP="00C93FC5">
            <w:pPr>
              <w:jc w:val="both"/>
              <w:rPr>
                <w:sz w:val="16"/>
                <w:szCs w:val="16"/>
              </w:rPr>
            </w:pPr>
            <w:r w:rsidRPr="00C13B20">
              <w:rPr>
                <w:sz w:val="16"/>
                <w:szCs w:val="16"/>
              </w:rPr>
              <w:t>СКО среднего (n =10)</w:t>
            </w:r>
          </w:p>
        </w:tc>
      </w:tr>
      <w:tr w:rsidR="00C93FC5" w:rsidTr="008D03B1">
        <w:trPr>
          <w:jc w:val="center"/>
        </w:trPr>
        <w:tc>
          <w:tcPr>
            <w:tcW w:w="4813" w:type="dxa"/>
            <w:tcBorders>
              <w:bottom w:val="single" w:sz="12" w:space="0" w:color="000000"/>
              <w:right w:val="nil"/>
            </w:tcBorders>
            <w:vAlign w:val="center"/>
          </w:tcPr>
          <w:p w:rsidR="00C93FC5" w:rsidRPr="00C13B20" w:rsidRDefault="00C93FC5" w:rsidP="00C93FC5">
            <w:pPr>
              <w:jc w:val="both"/>
              <w:rPr>
                <w:sz w:val="16"/>
                <w:szCs w:val="16"/>
              </w:rPr>
            </w:pPr>
            <w:r w:rsidRPr="00C13B20">
              <w:rPr>
                <w:sz w:val="16"/>
                <w:szCs w:val="16"/>
              </w:rPr>
              <w:t>Итого</w:t>
            </w:r>
          </w:p>
        </w:tc>
        <w:tc>
          <w:tcPr>
            <w:tcW w:w="711" w:type="dxa"/>
            <w:tcBorders>
              <w:bottom w:val="single" w:sz="12" w:space="0" w:color="000000"/>
              <w:right w:val="nil"/>
            </w:tcBorders>
            <w:vAlign w:val="center"/>
          </w:tcPr>
          <w:p w:rsidR="00C93FC5" w:rsidRPr="00F03A7A" w:rsidRDefault="00C93FC5" w:rsidP="00C93FC5">
            <w:pPr>
              <w:jc w:val="center"/>
              <w:rPr>
                <w:sz w:val="16"/>
                <w:szCs w:val="16"/>
              </w:rPr>
            </w:pPr>
          </w:p>
        </w:tc>
        <w:tc>
          <w:tcPr>
            <w:tcW w:w="1249" w:type="dxa"/>
            <w:tcBorders>
              <w:bottom w:val="single" w:sz="12" w:space="0" w:color="000000"/>
              <w:right w:val="nil"/>
            </w:tcBorders>
            <w:vAlign w:val="center"/>
          </w:tcPr>
          <w:p w:rsidR="00C93FC5" w:rsidRPr="00F03A7A" w:rsidRDefault="00C93FC5" w:rsidP="00C93FC5">
            <w:pPr>
              <w:jc w:val="center"/>
              <w:rPr>
                <w:sz w:val="16"/>
                <w:szCs w:val="16"/>
              </w:rPr>
            </w:pPr>
            <w:r w:rsidRPr="00F03A7A">
              <w:rPr>
                <w:sz w:val="16"/>
                <w:szCs w:val="16"/>
              </w:rPr>
              <w:t>4,2</w:t>
            </w:r>
          </w:p>
        </w:tc>
        <w:tc>
          <w:tcPr>
            <w:tcW w:w="2572" w:type="dxa"/>
            <w:tcBorders>
              <w:bottom w:val="single" w:sz="12" w:space="0" w:color="000000"/>
            </w:tcBorders>
            <w:vAlign w:val="center"/>
          </w:tcPr>
          <w:p w:rsidR="00C93FC5" w:rsidRPr="00C13B20" w:rsidRDefault="00C93FC5" w:rsidP="00C93FC5">
            <w:pPr>
              <w:jc w:val="both"/>
              <w:rPr>
                <w:sz w:val="16"/>
                <w:szCs w:val="16"/>
              </w:rPr>
            </w:pPr>
            <w:r w:rsidRPr="00C13B20">
              <w:rPr>
                <w:sz w:val="16"/>
                <w:szCs w:val="16"/>
              </w:rPr>
              <w:t>Значение (C</w:t>
            </w:r>
            <w:r w:rsidRPr="00C13B20">
              <w:rPr>
                <w:sz w:val="16"/>
                <w:szCs w:val="16"/>
                <w:vertAlign w:val="subscript"/>
              </w:rPr>
              <w:t xml:space="preserve">1 </w:t>
            </w:r>
            <w:r w:rsidRPr="00C13B20">
              <w:rPr>
                <w:sz w:val="16"/>
                <w:szCs w:val="16"/>
              </w:rPr>
              <w:t>× C</w:t>
            </w:r>
            <w:r w:rsidRPr="00C13B20">
              <w:rPr>
                <w:sz w:val="16"/>
                <w:szCs w:val="16"/>
                <w:vertAlign w:val="subscript"/>
              </w:rPr>
              <w:t>2</w:t>
            </w:r>
            <w:r w:rsidRPr="00C13B20">
              <w:rPr>
                <w:sz w:val="16"/>
                <w:szCs w:val="16"/>
              </w:rPr>
              <w:t>), 1592 Гц</w:t>
            </w:r>
          </w:p>
        </w:tc>
      </w:tr>
      <w:tr w:rsidR="00952EE3" w:rsidTr="008D03B1">
        <w:trPr>
          <w:jc w:val="center"/>
        </w:trPr>
        <w:tc>
          <w:tcPr>
            <w:tcW w:w="9345" w:type="dxa"/>
            <w:gridSpan w:val="4"/>
            <w:vAlign w:val="center"/>
          </w:tcPr>
          <w:p w:rsidR="00952EE3" w:rsidRPr="00F03A7A" w:rsidRDefault="00E0112D">
            <w:pPr>
              <w:jc w:val="center"/>
              <w:rPr>
                <w:sz w:val="16"/>
                <w:szCs w:val="16"/>
              </w:rPr>
            </w:pPr>
            <w:r w:rsidRPr="00F03A7A">
              <w:rPr>
                <w:b/>
                <w:bCs/>
                <w:sz w:val="16"/>
                <w:szCs w:val="16"/>
              </w:rPr>
              <w:t>Определение ёмкости конденсаторов С</w:t>
            </w:r>
            <w:r w:rsidRPr="00F03A7A">
              <w:rPr>
                <w:b/>
                <w:bCs/>
                <w:sz w:val="16"/>
                <w:szCs w:val="16"/>
                <w:vertAlign w:val="subscript"/>
              </w:rPr>
              <w:t>1</w:t>
            </w:r>
            <w:r w:rsidRPr="00F03A7A">
              <w:rPr>
                <w:b/>
                <w:bCs/>
                <w:sz w:val="16"/>
                <w:szCs w:val="16"/>
              </w:rPr>
              <w:t xml:space="preserve"> и С</w:t>
            </w:r>
            <w:r w:rsidRPr="00F03A7A">
              <w:rPr>
                <w:b/>
                <w:bCs/>
                <w:sz w:val="16"/>
                <w:szCs w:val="16"/>
                <w:vertAlign w:val="subscript"/>
              </w:rPr>
              <w:t>2</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Измерение ΔC = С</w:t>
            </w:r>
            <w:r w:rsidRPr="00C13B20">
              <w:rPr>
                <w:sz w:val="16"/>
                <w:szCs w:val="16"/>
                <w:vertAlign w:val="subscript"/>
              </w:rPr>
              <w:t>1</w:t>
            </w:r>
            <w:r w:rsidRPr="00C13B20">
              <w:rPr>
                <w:sz w:val="16"/>
                <w:szCs w:val="16"/>
              </w:rPr>
              <w:t xml:space="preserve"> - С</w:t>
            </w:r>
            <w:r w:rsidRPr="00C13B20">
              <w:rPr>
                <w:sz w:val="16"/>
                <w:szCs w:val="16"/>
                <w:vertAlign w:val="subscript"/>
              </w:rPr>
              <w:t>2</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 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1,0</w:t>
            </w:r>
          </w:p>
        </w:tc>
        <w:tc>
          <w:tcPr>
            <w:tcW w:w="2572" w:type="dxa"/>
            <w:vAlign w:val="center"/>
          </w:tcPr>
          <w:p w:rsidR="00C93FC5" w:rsidRPr="00C13B20" w:rsidRDefault="00C93FC5" w:rsidP="00C93FC5">
            <w:pPr>
              <w:jc w:val="both"/>
              <w:rPr>
                <w:sz w:val="16"/>
                <w:szCs w:val="16"/>
              </w:rPr>
            </w:pPr>
            <w:r w:rsidRPr="00C13B20">
              <w:rPr>
                <w:sz w:val="16"/>
                <w:szCs w:val="16"/>
              </w:rPr>
              <w:t>ТМК, частота 1592 Гц</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Расчет С</w:t>
            </w:r>
            <w:r w:rsidRPr="00C13B20">
              <w:rPr>
                <w:sz w:val="16"/>
                <w:szCs w:val="16"/>
                <w:vertAlign w:val="subscript"/>
              </w:rPr>
              <w:t>1</w:t>
            </w:r>
            <w:r w:rsidRPr="00C13B20">
              <w:rPr>
                <w:sz w:val="16"/>
                <w:szCs w:val="16"/>
              </w:rPr>
              <w:t xml:space="preserve"> (С</w:t>
            </w:r>
            <w:r w:rsidRPr="00C13B20">
              <w:rPr>
                <w:sz w:val="16"/>
                <w:szCs w:val="16"/>
                <w:vertAlign w:val="subscript"/>
              </w:rPr>
              <w:t>2</w:t>
            </w:r>
            <w:r w:rsidRPr="00C13B20">
              <w:rPr>
                <w:sz w:val="16"/>
                <w:szCs w:val="16"/>
              </w:rPr>
              <w:t>)</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0,5</w:t>
            </w:r>
          </w:p>
        </w:tc>
        <w:tc>
          <w:tcPr>
            <w:tcW w:w="2572" w:type="dxa"/>
            <w:vAlign w:val="center"/>
          </w:tcPr>
          <w:p w:rsidR="00C93FC5" w:rsidRPr="00C13B20" w:rsidRDefault="00C93FC5" w:rsidP="00C93FC5">
            <w:pPr>
              <w:jc w:val="both"/>
              <w:rPr>
                <w:sz w:val="16"/>
                <w:szCs w:val="16"/>
              </w:rPr>
            </w:pP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Кратковременная нестабильность С</w:t>
            </w:r>
            <w:r w:rsidRPr="00C13B20">
              <w:rPr>
                <w:sz w:val="16"/>
                <w:szCs w:val="16"/>
                <w:vertAlign w:val="subscript"/>
              </w:rPr>
              <w:t>1</w:t>
            </w:r>
            <w:r w:rsidRPr="00C13B20">
              <w:rPr>
                <w:sz w:val="16"/>
                <w:szCs w:val="16"/>
              </w:rPr>
              <w:t xml:space="preserve"> (С</w:t>
            </w:r>
            <w:r w:rsidRPr="00C13B20">
              <w:rPr>
                <w:sz w:val="16"/>
                <w:szCs w:val="16"/>
                <w:vertAlign w:val="subscript"/>
              </w:rPr>
              <w:t>2</w:t>
            </w:r>
            <w:r w:rsidRPr="00C13B20">
              <w:rPr>
                <w:sz w:val="16"/>
                <w:szCs w:val="16"/>
              </w:rPr>
              <w:t>)</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0,8</w:t>
            </w:r>
          </w:p>
        </w:tc>
        <w:tc>
          <w:tcPr>
            <w:tcW w:w="2572" w:type="dxa"/>
            <w:vAlign w:val="center"/>
          </w:tcPr>
          <w:p w:rsidR="00C93FC5" w:rsidRPr="00C13B20" w:rsidRDefault="00C93FC5" w:rsidP="00C93FC5">
            <w:pPr>
              <w:jc w:val="both"/>
              <w:rPr>
                <w:sz w:val="16"/>
                <w:szCs w:val="16"/>
              </w:rPr>
            </w:pP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Итого</w:t>
            </w:r>
          </w:p>
        </w:tc>
        <w:tc>
          <w:tcPr>
            <w:tcW w:w="711" w:type="dxa"/>
            <w:tcBorders>
              <w:right w:val="nil"/>
            </w:tcBorders>
            <w:vAlign w:val="center"/>
          </w:tcPr>
          <w:p w:rsidR="00C93FC5" w:rsidRPr="00F03A7A" w:rsidRDefault="00C93FC5" w:rsidP="00C93FC5">
            <w:pPr>
              <w:jc w:val="center"/>
              <w:rPr>
                <w:sz w:val="16"/>
                <w:szCs w:val="16"/>
              </w:rPr>
            </w:pP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1,4</w:t>
            </w:r>
          </w:p>
        </w:tc>
        <w:tc>
          <w:tcPr>
            <w:tcW w:w="2572" w:type="dxa"/>
            <w:vAlign w:val="center"/>
          </w:tcPr>
          <w:p w:rsidR="00C93FC5" w:rsidRPr="00C13B20" w:rsidRDefault="00C93FC5" w:rsidP="00C93FC5">
            <w:pPr>
              <w:jc w:val="both"/>
              <w:rPr>
                <w:sz w:val="16"/>
                <w:szCs w:val="16"/>
              </w:rPr>
            </w:pPr>
          </w:p>
        </w:tc>
      </w:tr>
      <w:tr w:rsidR="00952EE3" w:rsidTr="008D03B1">
        <w:trPr>
          <w:jc w:val="center"/>
        </w:trPr>
        <w:tc>
          <w:tcPr>
            <w:tcW w:w="9345" w:type="dxa"/>
            <w:gridSpan w:val="4"/>
            <w:vAlign w:val="center"/>
          </w:tcPr>
          <w:p w:rsidR="00952EE3" w:rsidRPr="00F03A7A" w:rsidRDefault="00E0112D">
            <w:pPr>
              <w:jc w:val="center"/>
              <w:rPr>
                <w:sz w:val="16"/>
                <w:szCs w:val="16"/>
              </w:rPr>
            </w:pPr>
            <w:r w:rsidRPr="00F03A7A">
              <w:rPr>
                <w:b/>
                <w:bCs/>
                <w:sz w:val="16"/>
                <w:szCs w:val="16"/>
              </w:rPr>
              <w:t>Передача единицы эталонам 10 пФ (f =1592 Гц)</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Аттестация отношения 10:1 ТМК при f= 1592 Гц</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2,3</w:t>
            </w:r>
          </w:p>
        </w:tc>
        <w:tc>
          <w:tcPr>
            <w:tcW w:w="2572" w:type="dxa"/>
            <w:vAlign w:val="center"/>
          </w:tcPr>
          <w:p w:rsidR="00C93FC5" w:rsidRPr="00C13B20" w:rsidRDefault="00C93FC5" w:rsidP="00C93FC5">
            <w:pPr>
              <w:jc w:val="both"/>
              <w:rPr>
                <w:sz w:val="16"/>
                <w:szCs w:val="16"/>
              </w:rPr>
            </w:pPr>
            <w:r w:rsidRPr="00C13B20">
              <w:rPr>
                <w:sz w:val="16"/>
                <w:szCs w:val="16"/>
              </w:rPr>
              <w:t>ТМК</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Передача единицы С</w:t>
            </w:r>
            <w:r w:rsidRPr="00C13B20">
              <w:rPr>
                <w:sz w:val="16"/>
                <w:szCs w:val="16"/>
                <w:vertAlign w:val="subscript"/>
              </w:rPr>
              <w:t>1</w:t>
            </w:r>
            <w:r w:rsidRPr="00C13B20">
              <w:rPr>
                <w:sz w:val="16"/>
                <w:szCs w:val="16"/>
              </w:rPr>
              <w:t xml:space="preserve"> (С</w:t>
            </w:r>
            <w:r w:rsidRPr="00C13B20">
              <w:rPr>
                <w:sz w:val="16"/>
                <w:szCs w:val="16"/>
                <w:vertAlign w:val="subscript"/>
              </w:rPr>
              <w:t>2</w:t>
            </w:r>
            <w:r w:rsidRPr="00C13B20">
              <w:rPr>
                <w:sz w:val="16"/>
                <w:szCs w:val="16"/>
              </w:rPr>
              <w:t>) -  100 пФ, (f = 1592 Гц)</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1,4</w:t>
            </w:r>
          </w:p>
        </w:tc>
        <w:tc>
          <w:tcPr>
            <w:tcW w:w="2572" w:type="dxa"/>
            <w:vAlign w:val="center"/>
          </w:tcPr>
          <w:p w:rsidR="00C93FC5" w:rsidRPr="00C13B20" w:rsidRDefault="00C93FC5" w:rsidP="00C93FC5">
            <w:pPr>
              <w:jc w:val="both"/>
              <w:rPr>
                <w:sz w:val="16"/>
                <w:szCs w:val="16"/>
              </w:rPr>
            </w:pPr>
            <w:r w:rsidRPr="00C13B20">
              <w:rPr>
                <w:sz w:val="16"/>
                <w:szCs w:val="16"/>
              </w:rPr>
              <w:t>ТМК</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Передача единицы 100 - 10 пФ (f = 1592 Гц)</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1,4</w:t>
            </w:r>
          </w:p>
        </w:tc>
        <w:tc>
          <w:tcPr>
            <w:tcW w:w="2572" w:type="dxa"/>
            <w:vAlign w:val="center"/>
          </w:tcPr>
          <w:p w:rsidR="00C93FC5" w:rsidRPr="00C13B20" w:rsidRDefault="00C93FC5" w:rsidP="00C93FC5">
            <w:pPr>
              <w:jc w:val="both"/>
              <w:rPr>
                <w:sz w:val="16"/>
                <w:szCs w:val="16"/>
              </w:rPr>
            </w:pPr>
            <w:r w:rsidRPr="00C13B20">
              <w:rPr>
                <w:sz w:val="16"/>
                <w:szCs w:val="16"/>
              </w:rPr>
              <w:t>ТМК</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Нестабильность температуры эталонов 10 пФ</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0,5</w:t>
            </w:r>
          </w:p>
        </w:tc>
        <w:tc>
          <w:tcPr>
            <w:tcW w:w="2572" w:type="dxa"/>
            <w:vAlign w:val="center"/>
          </w:tcPr>
          <w:p w:rsidR="00C93FC5" w:rsidRPr="00C13B20" w:rsidRDefault="00C93FC5" w:rsidP="00C93FC5">
            <w:pPr>
              <w:jc w:val="both"/>
              <w:rPr>
                <w:sz w:val="16"/>
                <w:szCs w:val="16"/>
              </w:rPr>
            </w:pPr>
            <w:r w:rsidRPr="00C13B20">
              <w:rPr>
                <w:sz w:val="16"/>
                <w:szCs w:val="16"/>
              </w:rPr>
              <w:t>Различные термостаты</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Повторяемость</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2,4</w:t>
            </w:r>
          </w:p>
        </w:tc>
        <w:tc>
          <w:tcPr>
            <w:tcW w:w="2572" w:type="dxa"/>
            <w:vAlign w:val="center"/>
          </w:tcPr>
          <w:p w:rsidR="00C93FC5" w:rsidRPr="00C13B20" w:rsidRDefault="00C93FC5" w:rsidP="00C93FC5">
            <w:pPr>
              <w:jc w:val="both"/>
              <w:rPr>
                <w:sz w:val="16"/>
                <w:szCs w:val="16"/>
              </w:rPr>
            </w:pPr>
            <w:r w:rsidRPr="00C13B20">
              <w:rPr>
                <w:sz w:val="16"/>
                <w:szCs w:val="16"/>
              </w:rPr>
              <w:t>СКО среднего (n.=10)</w:t>
            </w:r>
          </w:p>
        </w:tc>
      </w:tr>
      <w:tr w:rsidR="00C93FC5" w:rsidTr="008D03B1">
        <w:trPr>
          <w:jc w:val="center"/>
        </w:trPr>
        <w:tc>
          <w:tcPr>
            <w:tcW w:w="4813" w:type="dxa"/>
            <w:tcBorders>
              <w:bottom w:val="single" w:sz="12" w:space="0" w:color="000000"/>
              <w:right w:val="nil"/>
            </w:tcBorders>
            <w:vAlign w:val="center"/>
          </w:tcPr>
          <w:p w:rsidR="00C93FC5" w:rsidRPr="00C13B20" w:rsidRDefault="00C93FC5" w:rsidP="00C93FC5">
            <w:pPr>
              <w:jc w:val="both"/>
              <w:rPr>
                <w:sz w:val="16"/>
                <w:szCs w:val="16"/>
              </w:rPr>
            </w:pPr>
            <w:r w:rsidRPr="00C13B20">
              <w:rPr>
                <w:sz w:val="16"/>
                <w:szCs w:val="16"/>
              </w:rPr>
              <w:t>Итого</w:t>
            </w:r>
          </w:p>
        </w:tc>
        <w:tc>
          <w:tcPr>
            <w:tcW w:w="711" w:type="dxa"/>
            <w:tcBorders>
              <w:bottom w:val="single" w:sz="12" w:space="0" w:color="000000"/>
              <w:right w:val="nil"/>
            </w:tcBorders>
            <w:vAlign w:val="center"/>
          </w:tcPr>
          <w:p w:rsidR="00C93FC5" w:rsidRPr="00F03A7A" w:rsidRDefault="00C93FC5" w:rsidP="00C93FC5">
            <w:pPr>
              <w:jc w:val="both"/>
              <w:rPr>
                <w:sz w:val="16"/>
                <w:szCs w:val="16"/>
              </w:rPr>
            </w:pPr>
          </w:p>
        </w:tc>
        <w:tc>
          <w:tcPr>
            <w:tcW w:w="1249" w:type="dxa"/>
            <w:tcBorders>
              <w:bottom w:val="single" w:sz="12" w:space="0" w:color="000000"/>
              <w:right w:val="nil"/>
            </w:tcBorders>
            <w:vAlign w:val="center"/>
          </w:tcPr>
          <w:p w:rsidR="00C93FC5" w:rsidRPr="00F03A7A" w:rsidRDefault="00C93FC5" w:rsidP="00C93FC5">
            <w:pPr>
              <w:jc w:val="center"/>
              <w:rPr>
                <w:sz w:val="16"/>
                <w:szCs w:val="16"/>
              </w:rPr>
            </w:pPr>
            <w:r w:rsidRPr="00F03A7A">
              <w:rPr>
                <w:sz w:val="16"/>
                <w:szCs w:val="16"/>
              </w:rPr>
              <w:t>3,9</w:t>
            </w:r>
          </w:p>
        </w:tc>
        <w:tc>
          <w:tcPr>
            <w:tcW w:w="2572" w:type="dxa"/>
            <w:tcBorders>
              <w:bottom w:val="single" w:sz="12" w:space="0" w:color="000000"/>
            </w:tcBorders>
            <w:vAlign w:val="center"/>
          </w:tcPr>
          <w:p w:rsidR="00C93FC5" w:rsidRPr="00C13B20" w:rsidRDefault="00C93FC5" w:rsidP="00C93FC5">
            <w:pPr>
              <w:jc w:val="both"/>
              <w:rPr>
                <w:sz w:val="16"/>
                <w:szCs w:val="16"/>
              </w:rPr>
            </w:pPr>
          </w:p>
        </w:tc>
      </w:tr>
      <w:tr w:rsidR="00952EE3" w:rsidTr="008D03B1">
        <w:trPr>
          <w:jc w:val="center"/>
        </w:trPr>
        <w:tc>
          <w:tcPr>
            <w:tcW w:w="6773" w:type="dxa"/>
            <w:gridSpan w:val="3"/>
            <w:tcBorders>
              <w:right w:val="nil"/>
            </w:tcBorders>
            <w:vAlign w:val="center"/>
          </w:tcPr>
          <w:p w:rsidR="00952EE3" w:rsidRPr="00F03A7A" w:rsidRDefault="00E0112D">
            <w:pPr>
              <w:jc w:val="center"/>
              <w:rPr>
                <w:sz w:val="16"/>
                <w:szCs w:val="16"/>
              </w:rPr>
            </w:pPr>
            <w:r w:rsidRPr="00F03A7A">
              <w:rPr>
                <w:b/>
                <w:bCs/>
                <w:sz w:val="16"/>
                <w:szCs w:val="16"/>
              </w:rPr>
              <w:t>Аттестация эталонов 10 пФ f = 1000 Гц</w:t>
            </w:r>
          </w:p>
        </w:tc>
        <w:tc>
          <w:tcPr>
            <w:tcW w:w="2572" w:type="dxa"/>
            <w:vAlign w:val="center"/>
          </w:tcPr>
          <w:p w:rsidR="00952EE3" w:rsidRPr="00C13B20" w:rsidRDefault="00E0112D">
            <w:pPr>
              <w:jc w:val="both"/>
              <w:rPr>
                <w:sz w:val="16"/>
                <w:szCs w:val="16"/>
              </w:rPr>
            </w:pPr>
            <w:r w:rsidRPr="00C13B20">
              <w:rPr>
                <w:sz w:val="16"/>
                <w:szCs w:val="16"/>
              </w:rPr>
              <w:t>Групповой эталон</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Зависимость емкости конденсаторов КМВ от частоты</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0,5</w:t>
            </w:r>
          </w:p>
        </w:tc>
        <w:tc>
          <w:tcPr>
            <w:tcW w:w="2572" w:type="dxa"/>
            <w:vAlign w:val="center"/>
          </w:tcPr>
          <w:p w:rsidR="00C93FC5" w:rsidRPr="00C13B20" w:rsidRDefault="00C93FC5" w:rsidP="00C93FC5">
            <w:pPr>
              <w:jc w:val="both"/>
              <w:rPr>
                <w:sz w:val="16"/>
                <w:szCs w:val="16"/>
              </w:rPr>
            </w:pP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Кратковременная стабильность емкости эталонов</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В</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1,0</w:t>
            </w:r>
          </w:p>
        </w:tc>
        <w:tc>
          <w:tcPr>
            <w:tcW w:w="2572" w:type="dxa"/>
            <w:vAlign w:val="center"/>
          </w:tcPr>
          <w:p w:rsidR="00C93FC5" w:rsidRPr="00C13B20" w:rsidRDefault="00C93FC5" w:rsidP="00C93FC5">
            <w:pPr>
              <w:jc w:val="both"/>
              <w:rPr>
                <w:sz w:val="16"/>
                <w:szCs w:val="16"/>
              </w:rPr>
            </w:pPr>
            <w:r w:rsidRPr="00C13B20">
              <w:rPr>
                <w:sz w:val="16"/>
                <w:szCs w:val="16"/>
              </w:rPr>
              <w:t>КВМ и групповой эталоны</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Компарирование конденсаторов при частоте 1000 Гц</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0,8</w:t>
            </w:r>
          </w:p>
        </w:tc>
        <w:tc>
          <w:tcPr>
            <w:tcW w:w="2572" w:type="dxa"/>
            <w:vAlign w:val="center"/>
          </w:tcPr>
          <w:p w:rsidR="00C93FC5" w:rsidRPr="00C13B20" w:rsidRDefault="00C93FC5" w:rsidP="00C93FC5">
            <w:pPr>
              <w:jc w:val="both"/>
              <w:rPr>
                <w:sz w:val="16"/>
                <w:szCs w:val="16"/>
              </w:rPr>
            </w:pPr>
            <w:r w:rsidRPr="00C13B20">
              <w:rPr>
                <w:sz w:val="16"/>
                <w:szCs w:val="16"/>
              </w:rPr>
              <w:t>ТМК, метод замещения</w:t>
            </w:r>
          </w:p>
        </w:tc>
      </w:tr>
      <w:tr w:rsidR="00C93FC5" w:rsidTr="008D03B1">
        <w:trPr>
          <w:jc w:val="center"/>
        </w:trPr>
        <w:tc>
          <w:tcPr>
            <w:tcW w:w="4813" w:type="dxa"/>
            <w:tcBorders>
              <w:right w:val="nil"/>
            </w:tcBorders>
            <w:vAlign w:val="center"/>
          </w:tcPr>
          <w:p w:rsidR="00C93FC5" w:rsidRPr="00C13B20" w:rsidRDefault="00C93FC5" w:rsidP="00C93FC5">
            <w:pPr>
              <w:jc w:val="both"/>
              <w:rPr>
                <w:sz w:val="16"/>
                <w:szCs w:val="16"/>
              </w:rPr>
            </w:pPr>
            <w:r w:rsidRPr="00C13B20">
              <w:rPr>
                <w:sz w:val="16"/>
                <w:szCs w:val="16"/>
              </w:rPr>
              <w:t>Повторяемость</w:t>
            </w:r>
          </w:p>
        </w:tc>
        <w:tc>
          <w:tcPr>
            <w:tcW w:w="711" w:type="dxa"/>
            <w:tcBorders>
              <w:right w:val="nil"/>
            </w:tcBorders>
            <w:vAlign w:val="center"/>
          </w:tcPr>
          <w:p w:rsidR="00C93FC5" w:rsidRPr="00F03A7A" w:rsidRDefault="00C93FC5" w:rsidP="00C93FC5">
            <w:pPr>
              <w:jc w:val="center"/>
              <w:rPr>
                <w:sz w:val="16"/>
                <w:szCs w:val="16"/>
              </w:rPr>
            </w:pPr>
            <w:r w:rsidRPr="00F03A7A">
              <w:rPr>
                <w:sz w:val="16"/>
                <w:szCs w:val="16"/>
              </w:rPr>
              <w:t>А</w:t>
            </w:r>
          </w:p>
        </w:tc>
        <w:tc>
          <w:tcPr>
            <w:tcW w:w="1249" w:type="dxa"/>
            <w:tcBorders>
              <w:right w:val="nil"/>
            </w:tcBorders>
            <w:vAlign w:val="center"/>
          </w:tcPr>
          <w:p w:rsidR="00C93FC5" w:rsidRPr="00F03A7A" w:rsidRDefault="00C93FC5" w:rsidP="00C93FC5">
            <w:pPr>
              <w:jc w:val="center"/>
              <w:rPr>
                <w:sz w:val="16"/>
                <w:szCs w:val="16"/>
              </w:rPr>
            </w:pPr>
            <w:r w:rsidRPr="00F03A7A">
              <w:rPr>
                <w:sz w:val="16"/>
                <w:szCs w:val="16"/>
              </w:rPr>
              <w:t>1,3</w:t>
            </w:r>
          </w:p>
        </w:tc>
        <w:tc>
          <w:tcPr>
            <w:tcW w:w="2572" w:type="dxa"/>
            <w:vAlign w:val="center"/>
          </w:tcPr>
          <w:p w:rsidR="00C93FC5" w:rsidRPr="00C13B20" w:rsidRDefault="00C93FC5" w:rsidP="00C93FC5">
            <w:pPr>
              <w:jc w:val="both"/>
              <w:rPr>
                <w:sz w:val="16"/>
                <w:szCs w:val="16"/>
              </w:rPr>
            </w:pPr>
            <w:r w:rsidRPr="00C13B20">
              <w:rPr>
                <w:sz w:val="16"/>
                <w:szCs w:val="16"/>
              </w:rPr>
              <w:t>СКО среднего из 10 измерений</w:t>
            </w:r>
          </w:p>
        </w:tc>
      </w:tr>
      <w:tr w:rsidR="00C93FC5" w:rsidTr="008D03B1">
        <w:trPr>
          <w:jc w:val="center"/>
        </w:trPr>
        <w:tc>
          <w:tcPr>
            <w:tcW w:w="4813" w:type="dxa"/>
            <w:tcBorders>
              <w:bottom w:val="single" w:sz="12" w:space="0" w:color="000000"/>
              <w:right w:val="nil"/>
            </w:tcBorders>
            <w:vAlign w:val="center"/>
          </w:tcPr>
          <w:p w:rsidR="00C93FC5" w:rsidRPr="00C13B20" w:rsidRDefault="00C93FC5" w:rsidP="00C93FC5">
            <w:pPr>
              <w:jc w:val="both"/>
              <w:rPr>
                <w:sz w:val="16"/>
                <w:szCs w:val="16"/>
              </w:rPr>
            </w:pPr>
            <w:r w:rsidRPr="00C13B20">
              <w:rPr>
                <w:sz w:val="16"/>
                <w:szCs w:val="16"/>
              </w:rPr>
              <w:t>Итого</w:t>
            </w:r>
          </w:p>
        </w:tc>
        <w:tc>
          <w:tcPr>
            <w:tcW w:w="711" w:type="dxa"/>
            <w:tcBorders>
              <w:bottom w:val="single" w:sz="12" w:space="0" w:color="000000"/>
              <w:right w:val="nil"/>
            </w:tcBorders>
            <w:vAlign w:val="center"/>
          </w:tcPr>
          <w:p w:rsidR="00C93FC5" w:rsidRPr="00F03A7A" w:rsidRDefault="00C93FC5" w:rsidP="00C93FC5">
            <w:pPr>
              <w:jc w:val="center"/>
              <w:rPr>
                <w:sz w:val="16"/>
                <w:szCs w:val="16"/>
              </w:rPr>
            </w:pPr>
          </w:p>
        </w:tc>
        <w:tc>
          <w:tcPr>
            <w:tcW w:w="1249" w:type="dxa"/>
            <w:tcBorders>
              <w:bottom w:val="single" w:sz="12" w:space="0" w:color="000000"/>
              <w:right w:val="nil"/>
            </w:tcBorders>
            <w:vAlign w:val="center"/>
          </w:tcPr>
          <w:p w:rsidR="00C93FC5" w:rsidRPr="00F03A7A" w:rsidRDefault="00C93FC5" w:rsidP="00C93FC5">
            <w:pPr>
              <w:jc w:val="center"/>
              <w:rPr>
                <w:sz w:val="16"/>
                <w:szCs w:val="16"/>
              </w:rPr>
            </w:pPr>
            <w:r w:rsidRPr="00F03A7A">
              <w:rPr>
                <w:sz w:val="16"/>
                <w:szCs w:val="16"/>
              </w:rPr>
              <w:t>0,94</w:t>
            </w:r>
          </w:p>
        </w:tc>
        <w:tc>
          <w:tcPr>
            <w:tcW w:w="2572" w:type="dxa"/>
            <w:tcBorders>
              <w:bottom w:val="single" w:sz="12" w:space="0" w:color="000000"/>
            </w:tcBorders>
            <w:vAlign w:val="center"/>
          </w:tcPr>
          <w:p w:rsidR="00C93FC5" w:rsidRPr="00C13B20" w:rsidRDefault="00C93FC5" w:rsidP="00C93FC5">
            <w:pPr>
              <w:jc w:val="both"/>
              <w:rPr>
                <w:sz w:val="16"/>
                <w:szCs w:val="16"/>
              </w:rPr>
            </w:pPr>
          </w:p>
        </w:tc>
      </w:tr>
      <w:tr w:rsidR="00952EE3" w:rsidTr="008D03B1">
        <w:trPr>
          <w:jc w:val="center"/>
        </w:trPr>
        <w:tc>
          <w:tcPr>
            <w:tcW w:w="4813" w:type="dxa"/>
            <w:tcBorders>
              <w:right w:val="nil"/>
            </w:tcBorders>
            <w:vAlign w:val="center"/>
          </w:tcPr>
          <w:p w:rsidR="00952EE3" w:rsidRPr="00C13B20" w:rsidRDefault="00E0112D">
            <w:pPr>
              <w:jc w:val="both"/>
              <w:rPr>
                <w:sz w:val="16"/>
                <w:szCs w:val="16"/>
              </w:rPr>
            </w:pPr>
            <w:r w:rsidRPr="00C13B20">
              <w:rPr>
                <w:sz w:val="16"/>
                <w:szCs w:val="16"/>
              </w:rPr>
              <w:t>Воспроизведение единицы электрической ёмкости</w:t>
            </w:r>
          </w:p>
        </w:tc>
        <w:tc>
          <w:tcPr>
            <w:tcW w:w="711" w:type="dxa"/>
            <w:tcBorders>
              <w:right w:val="nil"/>
            </w:tcBorders>
            <w:vAlign w:val="center"/>
          </w:tcPr>
          <w:p w:rsidR="00952EE3" w:rsidRPr="00F03A7A" w:rsidRDefault="00952EE3">
            <w:pPr>
              <w:jc w:val="both"/>
              <w:rPr>
                <w:sz w:val="16"/>
                <w:szCs w:val="16"/>
              </w:rPr>
            </w:pPr>
          </w:p>
        </w:tc>
        <w:tc>
          <w:tcPr>
            <w:tcW w:w="1249" w:type="dxa"/>
            <w:tcBorders>
              <w:right w:val="nil"/>
            </w:tcBorders>
            <w:vAlign w:val="center"/>
          </w:tcPr>
          <w:p w:rsidR="00952EE3" w:rsidRPr="00F03A7A" w:rsidRDefault="007F357A" w:rsidP="00785DE7">
            <w:pPr>
              <w:jc w:val="center"/>
              <w:rPr>
                <w:sz w:val="16"/>
                <w:szCs w:val="16"/>
              </w:rPr>
            </w:pPr>
            <w:r w:rsidRPr="00F03A7A">
              <w:rPr>
                <w:sz w:val="16"/>
                <w:szCs w:val="16"/>
                <w:lang w:val="en-US"/>
              </w:rPr>
              <w:t>7</w:t>
            </w:r>
            <w:r w:rsidRPr="00F03A7A">
              <w:rPr>
                <w:sz w:val="16"/>
                <w:szCs w:val="16"/>
              </w:rPr>
              <w:t>,8</w:t>
            </w:r>
            <w:r w:rsidR="00E0112D" w:rsidRPr="00F03A7A">
              <w:rPr>
                <w:sz w:val="16"/>
                <w:szCs w:val="16"/>
              </w:rPr>
              <w:t xml:space="preserve"> (или</w:t>
            </w:r>
          </w:p>
          <w:p w:rsidR="00952EE3" w:rsidRPr="00F03A7A" w:rsidRDefault="007F357A" w:rsidP="00785DE7">
            <w:pPr>
              <w:jc w:val="center"/>
              <w:rPr>
                <w:sz w:val="16"/>
                <w:szCs w:val="16"/>
              </w:rPr>
            </w:pPr>
            <w:r w:rsidRPr="00F03A7A">
              <w:rPr>
                <w:sz w:val="16"/>
                <w:szCs w:val="16"/>
              </w:rPr>
              <w:t xml:space="preserve">78 </w:t>
            </w:r>
            <w:proofErr w:type="spellStart"/>
            <w:r w:rsidR="00E0112D" w:rsidRPr="00F03A7A">
              <w:rPr>
                <w:sz w:val="16"/>
                <w:szCs w:val="16"/>
              </w:rPr>
              <w:t>nF</w:t>
            </w:r>
            <w:proofErr w:type="spellEnd"/>
            <w:r w:rsidR="00E0112D" w:rsidRPr="00F03A7A">
              <w:rPr>
                <w:sz w:val="16"/>
                <w:szCs w:val="16"/>
              </w:rPr>
              <w:t>/F</w:t>
            </w:r>
            <w:r w:rsidR="00785DE7" w:rsidRPr="00F03A7A">
              <w:rPr>
                <w:sz w:val="16"/>
                <w:szCs w:val="16"/>
              </w:rPr>
              <w:t>)</w:t>
            </w:r>
          </w:p>
        </w:tc>
        <w:tc>
          <w:tcPr>
            <w:tcW w:w="2572" w:type="dxa"/>
            <w:vAlign w:val="center"/>
          </w:tcPr>
          <w:p w:rsidR="00952EE3" w:rsidRPr="00C13B20" w:rsidRDefault="00E0112D">
            <w:pPr>
              <w:jc w:val="both"/>
              <w:rPr>
                <w:sz w:val="16"/>
                <w:szCs w:val="16"/>
              </w:rPr>
            </w:pPr>
            <w:r w:rsidRPr="00C13B20">
              <w:rPr>
                <w:sz w:val="16"/>
                <w:szCs w:val="16"/>
              </w:rPr>
              <w:t>Групповой эталон 10 пФ</w:t>
            </w:r>
          </w:p>
        </w:tc>
      </w:tr>
      <w:tr w:rsidR="00491AC1" w:rsidTr="008D03B1">
        <w:trPr>
          <w:jc w:val="center"/>
        </w:trPr>
        <w:tc>
          <w:tcPr>
            <w:tcW w:w="9345" w:type="dxa"/>
            <w:gridSpan w:val="4"/>
            <w:vAlign w:val="center"/>
          </w:tcPr>
          <w:p w:rsidR="00491AC1" w:rsidRPr="00C13B20" w:rsidRDefault="00491AC1">
            <w:pPr>
              <w:jc w:val="both"/>
              <w:rPr>
                <w:sz w:val="16"/>
                <w:szCs w:val="16"/>
              </w:rPr>
            </w:pPr>
            <w:r w:rsidRPr="00491AC1">
              <w:rPr>
                <w:sz w:val="16"/>
                <w:szCs w:val="16"/>
              </w:rPr>
              <w:t>Примечания: МКТ-2 - мост на основе компаратора токов; РРЧХ- резистор с расчетной частотной зависимостью; КвМ - квадрату</w:t>
            </w:r>
            <w:r w:rsidRPr="00491AC1">
              <w:rPr>
                <w:sz w:val="16"/>
                <w:szCs w:val="16"/>
              </w:rPr>
              <w:t>р</w:t>
            </w:r>
            <w:r w:rsidRPr="00491AC1">
              <w:rPr>
                <w:sz w:val="16"/>
                <w:szCs w:val="16"/>
              </w:rPr>
              <w:t>ный мост; ИДН - индуктивный делитель напряжения (в составе КвМ); ТМК -трансформаторный мост-компаратор; КМВ - наимен</w:t>
            </w:r>
            <w:r w:rsidRPr="00491AC1">
              <w:rPr>
                <w:sz w:val="16"/>
                <w:szCs w:val="16"/>
              </w:rPr>
              <w:t>о</w:t>
            </w:r>
            <w:r w:rsidRPr="00491AC1">
              <w:rPr>
                <w:sz w:val="16"/>
                <w:szCs w:val="16"/>
              </w:rPr>
              <w:t>вание частото-независимого конденсатора.</w:t>
            </w:r>
          </w:p>
        </w:tc>
      </w:tr>
    </w:tbl>
    <w:p w:rsidR="008D03B1" w:rsidRDefault="008D03B1" w:rsidP="008D03B1"/>
    <w:p w:rsidR="0010181E" w:rsidRPr="008D03B1" w:rsidRDefault="0010181E" w:rsidP="008D03B1">
      <w:pPr>
        <w:sectPr w:rsidR="0010181E" w:rsidRPr="008D03B1" w:rsidSect="008D03B1">
          <w:type w:val="continuous"/>
          <w:pgSz w:w="11906" w:h="16838" w:code="9"/>
          <w:pgMar w:top="907" w:right="907" w:bottom="1440" w:left="907" w:header="709" w:footer="709" w:gutter="0"/>
          <w:cols w:space="720"/>
          <w:formProt w:val="0"/>
          <w:docGrid w:linePitch="360"/>
        </w:sectPr>
      </w:pPr>
    </w:p>
    <w:p w:rsidR="008D03B1" w:rsidRDefault="00491AC1" w:rsidP="008D03B1">
      <w:pPr>
        <w:pStyle w:val="a3"/>
        <w:rPr>
          <w:iCs/>
        </w:rPr>
      </w:pPr>
      <w:r w:rsidRPr="00202B71">
        <w:lastRenderedPageBreak/>
        <w:t>Оценка значения относительной су</w:t>
      </w:r>
      <w:r w:rsidR="00A84B63">
        <w:t>ммарной неопределенности указана</w:t>
      </w:r>
      <w:r w:rsidRPr="00202B71">
        <w:t xml:space="preserve"> при </w:t>
      </w:r>
      <w:r w:rsidRPr="00202B71">
        <w:rPr>
          <w:i/>
          <w:iCs/>
        </w:rPr>
        <w:t>k=</w:t>
      </w:r>
      <w:r w:rsidRPr="00202B71">
        <w:t xml:space="preserve">1. При оценке метрологических характеристик ГЭТ должно быть использовано значение </w:t>
      </w:r>
      <w:r w:rsidRPr="00202B71">
        <w:rPr>
          <w:i/>
          <w:iCs/>
        </w:rPr>
        <w:t>k=</w:t>
      </w:r>
      <w:bookmarkStart w:id="0" w:name="_GoBack"/>
      <w:r w:rsidRPr="005A70FF">
        <w:rPr>
          <w:iCs/>
        </w:rPr>
        <w:t>2</w:t>
      </w:r>
      <w:bookmarkEnd w:id="0"/>
      <w:r w:rsidRPr="00202B71">
        <w:rPr>
          <w:i/>
          <w:iCs/>
        </w:rPr>
        <w:t>.</w:t>
      </w:r>
    </w:p>
    <w:p w:rsidR="00202B71" w:rsidRPr="00D77B48" w:rsidRDefault="00D77B48" w:rsidP="008D03B1">
      <w:pPr>
        <w:pStyle w:val="a3"/>
      </w:pPr>
      <w:r w:rsidRPr="00D77B48">
        <w:t>Следует отметить, что приведенная выше оценка неопределенности является обобщением большого числа экспериментальных работ на отдельных этапах, выполненных на протяжении длительного периода, в течение которого проводились исследования по созданию элементов «цепи измерений».</w:t>
      </w:r>
    </w:p>
    <w:p w:rsidR="00BE796F" w:rsidRDefault="00BE796F" w:rsidP="0029759C">
      <w:pPr>
        <w:pStyle w:val="1"/>
        <w:rPr>
          <w:smallCaps w:val="0"/>
        </w:rPr>
      </w:pPr>
      <w:r w:rsidRPr="00BE796F">
        <w:rPr>
          <w:sz w:val="24"/>
          <w:szCs w:val="24"/>
        </w:rPr>
        <w:lastRenderedPageBreak/>
        <w:t>З</w:t>
      </w:r>
      <w:r w:rsidRPr="00BE796F">
        <w:t>аключение</w:t>
      </w:r>
    </w:p>
    <w:p w:rsidR="00E27946" w:rsidRDefault="00B43484" w:rsidP="008D03B1">
      <w:pPr>
        <w:pStyle w:val="a3"/>
      </w:pPr>
      <w:r>
        <w:t>Создана аппаратура, которая является материальной основой для выполнения всех действи</w:t>
      </w:r>
      <w:r w:rsidR="003A2C0E">
        <w:t>й</w:t>
      </w:r>
      <w:r>
        <w:t xml:space="preserve"> (процедур), </w:t>
      </w:r>
      <w:r w:rsidRPr="008D03B1">
        <w:t>которые</w:t>
      </w:r>
      <w:r>
        <w:t xml:space="preserve"> в своей совокупности образуют процесс, обозначенный как «цепь измерений». Показано, что результат этого процесса – единица электрической емкости, воспроизведенная во ВНИИМ, </w:t>
      </w:r>
      <w:r w:rsidR="008D03B1">
        <w:t>–</w:t>
      </w:r>
      <w:r>
        <w:t xml:space="preserve"> по своим метрологическим характеристикам соответствует современному мировому уровню. Подтверждением правильности воспроизведения единицы являются результаты международных сличений с участием МБМВ. В настоящее время участвовать в таких сличениях, к сожалению, не представляется возможным. </w:t>
      </w:r>
      <w:r>
        <w:lastRenderedPageBreak/>
        <w:t>Размер единицы, в</w:t>
      </w:r>
      <w:r w:rsidR="001A5AC1">
        <w:t>оспроизведенной во ВНИИМ в 2025 </w:t>
      </w:r>
      <w:r>
        <w:t>году, зафиксирован знач</w:t>
      </w:r>
      <w:r w:rsidR="00E27946">
        <w:t>ением группового эталона</w:t>
      </w:r>
      <w:r w:rsidR="00E27946">
        <w:br/>
        <w:t>10 пФ.</w:t>
      </w:r>
    </w:p>
    <w:p w:rsidR="00B43484" w:rsidRDefault="00B43484" w:rsidP="008D03B1">
      <w:pPr>
        <w:pStyle w:val="a3"/>
      </w:pPr>
      <w:r>
        <w:t>Остается надеяться, что стабильность группового эталона окажется достаточной для подтверждения метрологических характеристик нового ГЭТ 25 по результатам будущих сличений.</w:t>
      </w:r>
    </w:p>
    <w:p w:rsidR="00952EE3" w:rsidRDefault="00E0112D" w:rsidP="008D03B1">
      <w:pPr>
        <w:pStyle w:val="5"/>
        <w:rPr>
          <w:rFonts w:eastAsia="Times New Roman"/>
        </w:rPr>
      </w:pPr>
      <w:r>
        <w:rPr>
          <w:lang w:eastAsia="ru-RU"/>
        </w:rPr>
        <w:drawing>
          <wp:anchor distT="0" distB="0" distL="0" distR="0" simplePos="0" relativeHeight="2" behindDoc="0" locked="0" layoutInCell="1" allowOverlap="1" wp14:anchorId="7CC4A98D" wp14:editId="1FA993B1">
            <wp:simplePos x="0" y="0"/>
            <wp:positionH relativeFrom="column">
              <wp:posOffset>4294505</wp:posOffset>
            </wp:positionH>
            <wp:positionV relativeFrom="paragraph">
              <wp:posOffset>197485</wp:posOffset>
            </wp:positionV>
            <wp:extent cx="635" cy="635"/>
            <wp:effectExtent l="0" t="0" r="0" b="0"/>
            <wp:wrapNone/>
            <wp:docPr id="2" name="Рукописный ввод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укописный ввод 3"/>
                    <pic:cNvPicPr>
                      <a:picLocks noChangeAspect="1" noChangeArrowheads="1"/>
                    </pic:cNvPicPr>
                  </pic:nvPicPr>
                  <pic:blipFill>
                    <a:blip r:embed="rId11"/>
                    <a:stretch>
                      <a:fillRect/>
                    </a:stretch>
                  </pic:blipFill>
                  <pic:spPr bwMode="auto">
                    <a:xfrm>
                      <a:off x="0" y="0"/>
                      <a:ext cx="635" cy="635"/>
                    </a:xfrm>
                    <a:prstGeom prst="rect">
                      <a:avLst/>
                    </a:prstGeom>
                    <a:noFill/>
                  </pic:spPr>
                </pic:pic>
              </a:graphicData>
            </a:graphic>
          </wp:anchor>
        </w:drawing>
      </w:r>
      <w:r>
        <w:t>Список литературы</w:t>
      </w:r>
    </w:p>
    <w:p w:rsidR="00952EE3" w:rsidRPr="008D03B1" w:rsidRDefault="00E0112D" w:rsidP="008D03B1">
      <w:pPr>
        <w:pStyle w:val="a0"/>
      </w:pPr>
      <w:proofErr w:type="spellStart"/>
      <w:r w:rsidRPr="008D03B1">
        <w:t>Thompson</w:t>
      </w:r>
      <w:proofErr w:type="spellEnd"/>
      <w:r w:rsidRPr="008D03B1">
        <w:t xml:space="preserve"> A.M., </w:t>
      </w:r>
      <w:proofErr w:type="spellStart"/>
      <w:r w:rsidRPr="008D03B1">
        <w:t>Lampard</w:t>
      </w:r>
      <w:proofErr w:type="spellEnd"/>
      <w:r w:rsidRPr="008D03B1">
        <w:t xml:space="preserve"> D.G. ‘A </w:t>
      </w:r>
      <w:proofErr w:type="spellStart"/>
      <w:r w:rsidRPr="008D03B1">
        <w:t>new</w:t>
      </w:r>
      <w:proofErr w:type="spellEnd"/>
      <w:r w:rsidRPr="008D03B1">
        <w:t xml:space="preserve"> </w:t>
      </w:r>
      <w:proofErr w:type="spellStart"/>
      <w:r w:rsidRPr="008D03B1">
        <w:t>theorem</w:t>
      </w:r>
      <w:proofErr w:type="spellEnd"/>
      <w:r w:rsidRPr="008D03B1">
        <w:t xml:space="preserve"> </w:t>
      </w:r>
      <w:proofErr w:type="spellStart"/>
      <w:r w:rsidRPr="008D03B1">
        <w:t>in</w:t>
      </w:r>
      <w:proofErr w:type="spellEnd"/>
      <w:r w:rsidRPr="008D03B1">
        <w:t xml:space="preserve"> </w:t>
      </w:r>
      <w:proofErr w:type="spellStart"/>
      <w:r w:rsidRPr="008D03B1">
        <w:t>electrostatics</w:t>
      </w:r>
      <w:proofErr w:type="spellEnd"/>
      <w:r w:rsidRPr="008D03B1">
        <w:t xml:space="preserve"> </w:t>
      </w:r>
      <w:proofErr w:type="spellStart"/>
      <w:r w:rsidRPr="008D03B1">
        <w:t>and</w:t>
      </w:r>
      <w:proofErr w:type="spellEnd"/>
      <w:r w:rsidRPr="008D03B1">
        <w:t xml:space="preserve"> </w:t>
      </w:r>
      <w:proofErr w:type="spellStart"/>
      <w:r w:rsidRPr="008D03B1">
        <w:t>its</w:t>
      </w:r>
      <w:proofErr w:type="spellEnd"/>
      <w:r w:rsidRPr="008D03B1">
        <w:t xml:space="preserve"> </w:t>
      </w:r>
      <w:proofErr w:type="spellStart"/>
      <w:r w:rsidRPr="008D03B1">
        <w:t>application</w:t>
      </w:r>
      <w:proofErr w:type="spellEnd"/>
      <w:r w:rsidRPr="008D03B1">
        <w:t xml:space="preserve"> </w:t>
      </w:r>
      <w:proofErr w:type="spellStart"/>
      <w:r w:rsidRPr="008D03B1">
        <w:t>to</w:t>
      </w:r>
      <w:proofErr w:type="spellEnd"/>
      <w:r w:rsidRPr="008D03B1">
        <w:t xml:space="preserve"> </w:t>
      </w:r>
      <w:proofErr w:type="spellStart"/>
      <w:r w:rsidRPr="008D03B1">
        <w:t>calculable</w:t>
      </w:r>
      <w:proofErr w:type="spellEnd"/>
      <w:r w:rsidRPr="008D03B1">
        <w:t xml:space="preserve"> </w:t>
      </w:r>
      <w:proofErr w:type="spellStart"/>
      <w:r w:rsidRPr="008D03B1">
        <w:t>standards</w:t>
      </w:r>
      <w:proofErr w:type="spellEnd"/>
      <w:r w:rsidRPr="008D03B1">
        <w:t xml:space="preserve"> </w:t>
      </w:r>
      <w:proofErr w:type="spellStart"/>
      <w:r w:rsidRPr="008D03B1">
        <w:t>of</w:t>
      </w:r>
      <w:proofErr w:type="spellEnd"/>
      <w:r w:rsidRPr="008D03B1">
        <w:t xml:space="preserve"> </w:t>
      </w:r>
      <w:proofErr w:type="spellStart"/>
      <w:r w:rsidRPr="008D03B1">
        <w:t>capacitance</w:t>
      </w:r>
      <w:proofErr w:type="spellEnd"/>
      <w:r w:rsidRPr="008D03B1">
        <w:t xml:space="preserve">’. </w:t>
      </w:r>
      <w:proofErr w:type="spellStart"/>
      <w:r w:rsidRPr="008D03B1">
        <w:t>Nature</w:t>
      </w:r>
      <w:proofErr w:type="spellEnd"/>
      <w:r w:rsidRPr="008D03B1">
        <w:t>. 1956;</w:t>
      </w:r>
      <w:r w:rsidR="008452C1" w:rsidRPr="008D03B1">
        <w:t xml:space="preserve"> </w:t>
      </w:r>
      <w:r w:rsidRPr="008D03B1">
        <w:t>177:18</w:t>
      </w:r>
      <w:r w:rsidR="006A698B" w:rsidRPr="008D03B1">
        <w:t>.</w:t>
      </w:r>
    </w:p>
    <w:p w:rsidR="006A698B" w:rsidRPr="008D03B1" w:rsidRDefault="006A698B" w:rsidP="008D03B1">
      <w:pPr>
        <w:pStyle w:val="a0"/>
      </w:pPr>
      <w:proofErr w:type="spellStart"/>
      <w:r w:rsidRPr="008D03B1">
        <w:t>Comparison</w:t>
      </w:r>
      <w:proofErr w:type="spellEnd"/>
      <w:r w:rsidRPr="008D03B1">
        <w:t xml:space="preserve"> CCEM-K4.2017 </w:t>
      </w:r>
      <w:proofErr w:type="spellStart"/>
      <w:r w:rsidRPr="008D03B1">
        <w:t>of</w:t>
      </w:r>
      <w:proofErr w:type="spellEnd"/>
      <w:r w:rsidRPr="008D03B1">
        <w:t xml:space="preserve"> 10 </w:t>
      </w:r>
      <w:proofErr w:type="spellStart"/>
      <w:r w:rsidRPr="008D03B1">
        <w:t>pF</w:t>
      </w:r>
      <w:proofErr w:type="spellEnd"/>
      <w:r w:rsidRPr="008D03B1">
        <w:t xml:space="preserve"> </w:t>
      </w:r>
      <w:proofErr w:type="spellStart"/>
      <w:r w:rsidRPr="008D03B1">
        <w:t>and</w:t>
      </w:r>
      <w:proofErr w:type="spellEnd"/>
      <w:r w:rsidRPr="008D03B1">
        <w:t xml:space="preserve"> 100 </w:t>
      </w:r>
      <w:proofErr w:type="spellStart"/>
      <w:r w:rsidRPr="008D03B1">
        <w:t>pF</w:t>
      </w:r>
      <w:proofErr w:type="spellEnd"/>
      <w:r w:rsidRPr="008D03B1">
        <w:t xml:space="preserve"> </w:t>
      </w:r>
      <w:proofErr w:type="spellStart"/>
      <w:r w:rsidRPr="008D03B1">
        <w:t>Capacitance</w:t>
      </w:r>
      <w:proofErr w:type="spellEnd"/>
      <w:r w:rsidRPr="008D03B1">
        <w:t xml:space="preserve"> </w:t>
      </w:r>
      <w:proofErr w:type="spellStart"/>
      <w:r w:rsidRPr="008D03B1">
        <w:t>Standards</w:t>
      </w:r>
      <w:proofErr w:type="spellEnd"/>
      <w:r w:rsidRPr="008D03B1">
        <w:t xml:space="preserve"> </w:t>
      </w:r>
      <w:proofErr w:type="spellStart"/>
      <w:r w:rsidRPr="008D03B1">
        <w:t>Final</w:t>
      </w:r>
      <w:proofErr w:type="spellEnd"/>
      <w:r w:rsidRPr="008D03B1">
        <w:t xml:space="preserve"> </w:t>
      </w:r>
      <w:proofErr w:type="spellStart"/>
      <w:r w:rsidRPr="008D03B1">
        <w:t>report</w:t>
      </w:r>
      <w:proofErr w:type="spellEnd"/>
      <w:r w:rsidRPr="008D03B1">
        <w:t xml:space="preserve">, </w:t>
      </w:r>
      <w:proofErr w:type="spellStart"/>
      <w:r w:rsidRPr="008D03B1">
        <w:t>November</w:t>
      </w:r>
      <w:proofErr w:type="spellEnd"/>
      <w:r w:rsidRPr="008D03B1">
        <w:t xml:space="preserve"> 2018.</w:t>
      </w:r>
    </w:p>
    <w:p w:rsidR="00952EE3" w:rsidRPr="008D03B1" w:rsidRDefault="00E0112D" w:rsidP="008D03B1">
      <w:pPr>
        <w:pStyle w:val="a0"/>
      </w:pPr>
      <w:proofErr w:type="spellStart"/>
      <w:r w:rsidRPr="008D03B1">
        <w:t>Thompson</w:t>
      </w:r>
      <w:proofErr w:type="spellEnd"/>
      <w:r w:rsidRPr="008D03B1">
        <w:t xml:space="preserve"> A.M. </w:t>
      </w:r>
      <w:proofErr w:type="spellStart"/>
      <w:r w:rsidRPr="008D03B1">
        <w:t>An</w:t>
      </w:r>
      <w:proofErr w:type="spellEnd"/>
      <w:r w:rsidRPr="008D03B1">
        <w:t xml:space="preserve"> </w:t>
      </w:r>
      <w:proofErr w:type="spellStart"/>
      <w:r w:rsidRPr="008D03B1">
        <w:t>Absolute</w:t>
      </w:r>
      <w:proofErr w:type="spellEnd"/>
      <w:r w:rsidRPr="008D03B1">
        <w:t xml:space="preserve"> </w:t>
      </w:r>
      <w:proofErr w:type="spellStart"/>
      <w:r w:rsidRPr="008D03B1">
        <w:t>Determination</w:t>
      </w:r>
      <w:proofErr w:type="spellEnd"/>
      <w:r w:rsidRPr="008D03B1">
        <w:t xml:space="preserve"> </w:t>
      </w:r>
      <w:proofErr w:type="spellStart"/>
      <w:r w:rsidRPr="008D03B1">
        <w:t>of</w:t>
      </w:r>
      <w:proofErr w:type="spellEnd"/>
      <w:r w:rsidRPr="008D03B1">
        <w:t xml:space="preserve"> </w:t>
      </w:r>
      <w:proofErr w:type="spellStart"/>
      <w:r w:rsidRPr="008D03B1">
        <w:t>Resistance</w:t>
      </w:r>
      <w:proofErr w:type="spellEnd"/>
      <w:r w:rsidRPr="008D03B1">
        <w:t xml:space="preserve"> </w:t>
      </w:r>
      <w:proofErr w:type="spellStart"/>
      <w:r w:rsidRPr="008D03B1">
        <w:t>Based</w:t>
      </w:r>
      <w:proofErr w:type="spellEnd"/>
      <w:r w:rsidRPr="008D03B1">
        <w:t xml:space="preserve"> </w:t>
      </w:r>
      <w:proofErr w:type="spellStart"/>
      <w:r w:rsidRPr="008D03B1">
        <w:t>on</w:t>
      </w:r>
      <w:proofErr w:type="spellEnd"/>
      <w:r w:rsidRPr="008D03B1">
        <w:t xml:space="preserve"> a </w:t>
      </w:r>
      <w:proofErr w:type="spellStart"/>
      <w:r w:rsidRPr="008D03B1">
        <w:t>Calculable</w:t>
      </w:r>
      <w:proofErr w:type="spellEnd"/>
      <w:r w:rsidRPr="008D03B1">
        <w:t xml:space="preserve"> </w:t>
      </w:r>
      <w:proofErr w:type="spellStart"/>
      <w:r w:rsidRPr="008D03B1">
        <w:t>Standard</w:t>
      </w:r>
      <w:proofErr w:type="spellEnd"/>
      <w:r w:rsidRPr="008D03B1">
        <w:t xml:space="preserve"> </w:t>
      </w:r>
      <w:proofErr w:type="spellStart"/>
      <w:r w:rsidRPr="008D03B1">
        <w:t>of</w:t>
      </w:r>
      <w:proofErr w:type="spellEnd"/>
      <w:r w:rsidRPr="008D03B1">
        <w:t xml:space="preserve"> </w:t>
      </w:r>
      <w:proofErr w:type="spellStart"/>
      <w:r w:rsidRPr="008D03B1">
        <w:t>Capacitance</w:t>
      </w:r>
      <w:proofErr w:type="spellEnd"/>
      <w:r w:rsidRPr="008D03B1">
        <w:t xml:space="preserve">, </w:t>
      </w:r>
      <w:proofErr w:type="spellStart"/>
      <w:r w:rsidRPr="008D03B1">
        <w:t>Metrologia</w:t>
      </w:r>
      <w:proofErr w:type="spellEnd"/>
      <w:r w:rsidRPr="008D03B1">
        <w:t xml:space="preserve"> </w:t>
      </w:r>
      <w:proofErr w:type="spellStart"/>
      <w:r w:rsidRPr="008D03B1">
        <w:t>vol</w:t>
      </w:r>
      <w:proofErr w:type="spellEnd"/>
      <w:r w:rsidRPr="008D03B1">
        <w:t xml:space="preserve">. 4  </w:t>
      </w:r>
      <w:proofErr w:type="spellStart"/>
      <w:r w:rsidRPr="008D03B1">
        <w:t>no</w:t>
      </w:r>
      <w:proofErr w:type="spellEnd"/>
      <w:r w:rsidRPr="008D03B1">
        <w:t xml:space="preserve"> 1 1968, </w:t>
      </w:r>
      <w:proofErr w:type="spellStart"/>
      <w:r w:rsidRPr="008D03B1">
        <w:t>pp</w:t>
      </w:r>
      <w:proofErr w:type="spellEnd"/>
      <w:r w:rsidRPr="008D03B1">
        <w:t>. 1</w:t>
      </w:r>
      <w:r w:rsidR="008D03B1">
        <w:t>–</w:t>
      </w:r>
      <w:r w:rsidRPr="008D03B1">
        <w:t>7</w:t>
      </w:r>
      <w:r w:rsidR="008D03B1">
        <w:t>.</w:t>
      </w:r>
    </w:p>
    <w:p w:rsidR="00952EE3" w:rsidRPr="008D03B1" w:rsidRDefault="00E0112D" w:rsidP="008D03B1">
      <w:pPr>
        <w:pStyle w:val="a0"/>
      </w:pPr>
      <w:proofErr w:type="spellStart"/>
      <w:r w:rsidRPr="008D03B1">
        <w:lastRenderedPageBreak/>
        <w:t>Modular</w:t>
      </w:r>
      <w:proofErr w:type="spellEnd"/>
      <w:r w:rsidRPr="008D03B1">
        <w:t xml:space="preserve"> </w:t>
      </w:r>
      <w:proofErr w:type="spellStart"/>
      <w:r w:rsidRPr="008D03B1">
        <w:t>System</w:t>
      </w:r>
      <w:proofErr w:type="spellEnd"/>
      <w:r w:rsidRPr="008D03B1">
        <w:t xml:space="preserve"> </w:t>
      </w:r>
      <w:proofErr w:type="spellStart"/>
      <w:r w:rsidRPr="008D03B1">
        <w:t>for</w:t>
      </w:r>
      <w:proofErr w:type="spellEnd"/>
      <w:r w:rsidRPr="008D03B1">
        <w:t xml:space="preserve"> </w:t>
      </w:r>
      <w:proofErr w:type="spellStart"/>
      <w:r w:rsidRPr="008D03B1">
        <w:t>Calibration</w:t>
      </w:r>
      <w:proofErr w:type="spellEnd"/>
      <w:r w:rsidRPr="008D03B1">
        <w:t xml:space="preserve"> </w:t>
      </w:r>
      <w:proofErr w:type="spellStart"/>
      <w:r w:rsidRPr="008D03B1">
        <w:t>of</w:t>
      </w:r>
      <w:proofErr w:type="spellEnd"/>
      <w:r w:rsidRPr="008D03B1">
        <w:t xml:space="preserve"> </w:t>
      </w:r>
      <w:proofErr w:type="spellStart"/>
      <w:r w:rsidRPr="008D03B1">
        <w:t>Capacitance</w:t>
      </w:r>
      <w:proofErr w:type="spellEnd"/>
      <w:r w:rsidRPr="008D03B1">
        <w:t xml:space="preserve"> </w:t>
      </w:r>
      <w:proofErr w:type="spellStart"/>
      <w:r w:rsidRPr="008D03B1">
        <w:t>Standards</w:t>
      </w:r>
      <w:proofErr w:type="spellEnd"/>
      <w:r w:rsidRPr="008D03B1">
        <w:t xml:space="preserve"> </w:t>
      </w:r>
      <w:proofErr w:type="spellStart"/>
      <w:r w:rsidRPr="008D03B1">
        <w:t>Based</w:t>
      </w:r>
      <w:proofErr w:type="spellEnd"/>
      <w:r w:rsidRPr="008D03B1">
        <w:t xml:space="preserve"> </w:t>
      </w:r>
      <w:proofErr w:type="spellStart"/>
      <w:r w:rsidRPr="008D03B1">
        <w:t>on</w:t>
      </w:r>
      <w:proofErr w:type="spellEnd"/>
      <w:r w:rsidRPr="008D03B1">
        <w:t xml:space="preserve"> </w:t>
      </w:r>
      <w:proofErr w:type="spellStart"/>
      <w:r w:rsidRPr="008D03B1">
        <w:t>the</w:t>
      </w:r>
      <w:proofErr w:type="spellEnd"/>
      <w:r w:rsidRPr="008D03B1">
        <w:t xml:space="preserve"> </w:t>
      </w:r>
      <w:proofErr w:type="spellStart"/>
      <w:r w:rsidRPr="008D03B1">
        <w:t>Quantum</w:t>
      </w:r>
      <w:proofErr w:type="spellEnd"/>
      <w:r w:rsidRPr="008D03B1">
        <w:t xml:space="preserve"> </w:t>
      </w:r>
      <w:proofErr w:type="spellStart"/>
      <w:r w:rsidRPr="008D03B1">
        <w:t>Hall</w:t>
      </w:r>
      <w:proofErr w:type="spellEnd"/>
      <w:r w:rsidRPr="008D03B1">
        <w:t xml:space="preserve"> </w:t>
      </w:r>
      <w:proofErr w:type="spellStart"/>
      <w:r w:rsidRPr="008D03B1">
        <w:t>Effect</w:t>
      </w:r>
      <w:proofErr w:type="spellEnd"/>
      <w:r w:rsidRPr="008D03B1">
        <w:t xml:space="preserve">. </w:t>
      </w:r>
      <w:proofErr w:type="spellStart"/>
      <w:proofErr w:type="gramStart"/>
      <w:r w:rsidRPr="008D03B1">
        <w:t>European</w:t>
      </w:r>
      <w:proofErr w:type="spellEnd"/>
      <w:r w:rsidRPr="008D03B1">
        <w:t xml:space="preserve"> </w:t>
      </w:r>
      <w:proofErr w:type="spellStart"/>
      <w:r w:rsidRPr="008D03B1">
        <w:t>Commission</w:t>
      </w:r>
      <w:proofErr w:type="spellEnd"/>
      <w:r w:rsidRPr="008D03B1">
        <w:t xml:space="preserve"> </w:t>
      </w:r>
      <w:proofErr w:type="spellStart"/>
      <w:r w:rsidRPr="008D03B1">
        <w:t>Program</w:t>
      </w:r>
      <w:proofErr w:type="spellEnd"/>
      <w:r w:rsidRPr="008D03B1">
        <w:t xml:space="preserve"> SMT4-CT98-22 4] L. 010.</w:t>
      </w:r>
      <w:proofErr w:type="gramEnd"/>
    </w:p>
    <w:p w:rsidR="00952EE3" w:rsidRPr="008D03B1" w:rsidRDefault="00E0112D" w:rsidP="008D03B1">
      <w:pPr>
        <w:pStyle w:val="a0"/>
      </w:pPr>
      <w:r w:rsidRPr="008D03B1">
        <w:t xml:space="preserve">L. </w:t>
      </w:r>
      <w:proofErr w:type="spellStart"/>
      <w:r w:rsidRPr="008D03B1">
        <w:t>Callegaro</w:t>
      </w:r>
      <w:proofErr w:type="spellEnd"/>
      <w:r w:rsidRPr="008D03B1">
        <w:t xml:space="preserve">, V. </w:t>
      </w:r>
      <w:proofErr w:type="spellStart"/>
      <w:r w:rsidRPr="008D03B1">
        <w:t>D’Elia</w:t>
      </w:r>
      <w:proofErr w:type="spellEnd"/>
      <w:r w:rsidRPr="008D03B1">
        <w:t xml:space="preserve">, </w:t>
      </w:r>
      <w:proofErr w:type="spellStart"/>
      <w:r w:rsidRPr="008D03B1">
        <w:t>and</w:t>
      </w:r>
      <w:proofErr w:type="spellEnd"/>
      <w:r w:rsidRPr="008D03B1">
        <w:t xml:space="preserve"> B. </w:t>
      </w:r>
      <w:proofErr w:type="spellStart"/>
      <w:r w:rsidRPr="008D03B1">
        <w:t>Trinchera</w:t>
      </w:r>
      <w:proofErr w:type="spellEnd"/>
      <w:r w:rsidRPr="008D03B1">
        <w:t xml:space="preserve">. </w:t>
      </w:r>
      <w:proofErr w:type="spellStart"/>
      <w:r w:rsidRPr="008D03B1">
        <w:t>Realization</w:t>
      </w:r>
      <w:proofErr w:type="spellEnd"/>
      <w:r w:rsidRPr="008D03B1">
        <w:t xml:space="preserve"> </w:t>
      </w:r>
      <w:proofErr w:type="spellStart"/>
      <w:r w:rsidRPr="008D03B1">
        <w:t>of</w:t>
      </w:r>
      <w:proofErr w:type="spellEnd"/>
      <w:r w:rsidRPr="008D03B1">
        <w:t xml:space="preserve"> </w:t>
      </w:r>
      <w:proofErr w:type="spellStart"/>
      <w:r w:rsidRPr="008D03B1">
        <w:t>the</w:t>
      </w:r>
      <w:proofErr w:type="spellEnd"/>
      <w:r w:rsidRPr="008D03B1">
        <w:t xml:space="preserve"> </w:t>
      </w:r>
      <w:proofErr w:type="spellStart"/>
      <w:r w:rsidRPr="008D03B1">
        <w:t>farad</w:t>
      </w:r>
      <w:proofErr w:type="spellEnd"/>
      <w:r w:rsidRPr="008D03B1">
        <w:t xml:space="preserve"> </w:t>
      </w:r>
      <w:proofErr w:type="spellStart"/>
      <w:r w:rsidRPr="008D03B1">
        <w:t>from</w:t>
      </w:r>
      <w:proofErr w:type="spellEnd"/>
      <w:r w:rsidRPr="008D03B1">
        <w:t xml:space="preserve"> </w:t>
      </w:r>
      <w:proofErr w:type="spellStart"/>
      <w:r w:rsidRPr="008D03B1">
        <w:t>the</w:t>
      </w:r>
      <w:proofErr w:type="spellEnd"/>
      <w:r w:rsidRPr="008D03B1">
        <w:t xml:space="preserve"> </w:t>
      </w:r>
      <w:proofErr w:type="spellStart"/>
      <w:r w:rsidRPr="008D03B1">
        <w:t>dc</w:t>
      </w:r>
      <w:proofErr w:type="spellEnd"/>
      <w:r w:rsidRPr="008D03B1">
        <w:t xml:space="preserve"> </w:t>
      </w:r>
      <w:proofErr w:type="spellStart"/>
      <w:r w:rsidRPr="008D03B1">
        <w:t>quantum</w:t>
      </w:r>
      <w:proofErr w:type="spellEnd"/>
      <w:r w:rsidRPr="008D03B1">
        <w:t xml:space="preserve"> </w:t>
      </w:r>
      <w:proofErr w:type="spellStart"/>
      <w:r w:rsidRPr="008D03B1">
        <w:t>Hall</w:t>
      </w:r>
      <w:proofErr w:type="spellEnd"/>
      <w:r w:rsidRPr="008D03B1">
        <w:t xml:space="preserve"> </w:t>
      </w:r>
      <w:proofErr w:type="spellStart"/>
      <w:r w:rsidRPr="008D03B1">
        <w:t>effect</w:t>
      </w:r>
      <w:proofErr w:type="spellEnd"/>
      <w:r w:rsidRPr="008D03B1">
        <w:t xml:space="preserve"> </w:t>
      </w:r>
      <w:proofErr w:type="spellStart"/>
      <w:r w:rsidRPr="008D03B1">
        <w:t>with</w:t>
      </w:r>
      <w:proofErr w:type="spellEnd"/>
      <w:r w:rsidRPr="008D03B1">
        <w:t xml:space="preserve"> </w:t>
      </w:r>
      <w:proofErr w:type="spellStart"/>
      <w:r w:rsidRPr="008D03B1">
        <w:t>digitally</w:t>
      </w:r>
      <w:proofErr w:type="spellEnd"/>
      <w:r w:rsidRPr="008D03B1">
        <w:t xml:space="preserve"> </w:t>
      </w:r>
      <w:proofErr w:type="spellStart"/>
      <w:r w:rsidRPr="008D03B1">
        <w:t>assisted</w:t>
      </w:r>
      <w:proofErr w:type="spellEnd"/>
      <w:r w:rsidRPr="008D03B1">
        <w:t xml:space="preserve"> </w:t>
      </w:r>
      <w:proofErr w:type="spellStart"/>
      <w:r w:rsidRPr="008D03B1">
        <w:t>impedance</w:t>
      </w:r>
      <w:proofErr w:type="spellEnd"/>
      <w:r w:rsidRPr="008D03B1">
        <w:t xml:space="preserve"> </w:t>
      </w:r>
      <w:proofErr w:type="spellStart"/>
      <w:r w:rsidRPr="008D03B1">
        <w:t>bridges</w:t>
      </w:r>
      <w:proofErr w:type="spellEnd"/>
      <w:r w:rsidRPr="008D03B1">
        <w:t xml:space="preserve">. </w:t>
      </w:r>
      <w:proofErr w:type="spellStart"/>
      <w:r w:rsidRPr="008D03B1">
        <w:t>Metrologia</w:t>
      </w:r>
      <w:proofErr w:type="spellEnd"/>
      <w:r w:rsidRPr="008D03B1">
        <w:t xml:space="preserve">, </w:t>
      </w:r>
      <w:proofErr w:type="spellStart"/>
      <w:r w:rsidRPr="008D03B1">
        <w:t>vol</w:t>
      </w:r>
      <w:proofErr w:type="spellEnd"/>
      <w:r w:rsidRPr="008D03B1">
        <w:t xml:space="preserve">. 47, </w:t>
      </w:r>
      <w:proofErr w:type="spellStart"/>
      <w:r w:rsidRPr="008D03B1">
        <w:t>pp</w:t>
      </w:r>
      <w:proofErr w:type="spellEnd"/>
      <w:r w:rsidRPr="008D03B1">
        <w:t>. 464–472, 2010.</w:t>
      </w:r>
    </w:p>
    <w:p w:rsidR="00952EE3" w:rsidRPr="008D03B1" w:rsidRDefault="00E0112D" w:rsidP="008D03B1">
      <w:pPr>
        <w:pStyle w:val="a0"/>
      </w:pPr>
      <w:r w:rsidRPr="008D03B1">
        <w:t xml:space="preserve">W.S. </w:t>
      </w:r>
      <w:proofErr w:type="spellStart"/>
      <w:r w:rsidRPr="008D03B1">
        <w:t>Kim</w:t>
      </w:r>
      <w:proofErr w:type="spellEnd"/>
      <w:r w:rsidRPr="008D03B1">
        <w:t xml:space="preserve">, D.B. </w:t>
      </w:r>
      <w:proofErr w:type="spellStart"/>
      <w:r w:rsidRPr="008D03B1">
        <w:t>Kim</w:t>
      </w:r>
      <w:proofErr w:type="spellEnd"/>
      <w:r w:rsidRPr="008D03B1">
        <w:t xml:space="preserve">, D.M, </w:t>
      </w:r>
      <w:proofErr w:type="spellStart"/>
      <w:r w:rsidRPr="008D03B1">
        <w:t>Kassim</w:t>
      </w:r>
      <w:proofErr w:type="spellEnd"/>
      <w:r w:rsidRPr="008D03B1">
        <w:t xml:space="preserve">, L. </w:t>
      </w:r>
      <w:proofErr w:type="spellStart"/>
      <w:r w:rsidRPr="008D03B1">
        <w:t>Callegaro</w:t>
      </w:r>
      <w:proofErr w:type="spellEnd"/>
      <w:r w:rsidRPr="008D03B1">
        <w:t xml:space="preserve">, V, </w:t>
      </w:r>
      <w:proofErr w:type="spellStart"/>
      <w:r w:rsidRPr="008D03B1">
        <w:t>D'Elia</w:t>
      </w:r>
      <w:proofErr w:type="spellEnd"/>
      <w:r w:rsidRPr="008D03B1">
        <w:t xml:space="preserve">, B, </w:t>
      </w:r>
      <w:proofErr w:type="spellStart"/>
      <w:r w:rsidRPr="008D03B1">
        <w:t>Trencher</w:t>
      </w:r>
      <w:proofErr w:type="spellEnd"/>
      <w:r w:rsidRPr="008D03B1">
        <w:t xml:space="preserve">, </w:t>
      </w:r>
      <w:proofErr w:type="spellStart"/>
      <w:r w:rsidRPr="008D03B1">
        <w:t>Jan</w:t>
      </w:r>
      <w:proofErr w:type="spellEnd"/>
      <w:r w:rsidRPr="008D03B1">
        <w:t xml:space="preserve"> </w:t>
      </w:r>
      <w:proofErr w:type="spellStart"/>
      <w:r w:rsidRPr="008D03B1">
        <w:t>Kucera</w:t>
      </w:r>
      <w:proofErr w:type="spellEnd"/>
      <w:r w:rsidRPr="008D03B1">
        <w:t xml:space="preserve">, </w:t>
      </w:r>
      <w:proofErr w:type="spellStart"/>
      <w:r w:rsidRPr="008D03B1">
        <w:t>and</w:t>
      </w:r>
      <w:proofErr w:type="spellEnd"/>
      <w:r w:rsidRPr="008D03B1">
        <w:t xml:space="preserve"> </w:t>
      </w:r>
      <w:proofErr w:type="spellStart"/>
      <w:r w:rsidRPr="008D03B1">
        <w:t>yR</w:t>
      </w:r>
      <w:proofErr w:type="spellEnd"/>
      <w:r w:rsidRPr="008D03B1">
        <w:t xml:space="preserve">. </w:t>
      </w:r>
      <w:proofErr w:type="spellStart"/>
      <w:r w:rsidRPr="008D03B1">
        <w:t>Sedlacek</w:t>
      </w:r>
      <w:proofErr w:type="spellEnd"/>
      <w:r w:rsidRPr="008D03B1">
        <w:t xml:space="preserve"> “</w:t>
      </w:r>
      <w:proofErr w:type="spellStart"/>
      <w:r w:rsidRPr="008D03B1">
        <w:t>Traceability</w:t>
      </w:r>
      <w:proofErr w:type="spellEnd"/>
      <w:r w:rsidRPr="008D03B1">
        <w:t xml:space="preserve"> </w:t>
      </w:r>
      <w:proofErr w:type="spellStart"/>
      <w:r w:rsidRPr="008D03B1">
        <w:t>Chain</w:t>
      </w:r>
      <w:proofErr w:type="spellEnd"/>
      <w:r w:rsidRPr="008D03B1">
        <w:t xml:space="preserve"> </w:t>
      </w:r>
      <w:proofErr w:type="spellStart"/>
      <w:r w:rsidRPr="008D03B1">
        <w:t>at</w:t>
      </w:r>
      <w:proofErr w:type="spellEnd"/>
      <w:r w:rsidRPr="008D03B1">
        <w:t xml:space="preserve"> KRISS </w:t>
      </w:r>
      <w:proofErr w:type="spellStart"/>
      <w:r w:rsidRPr="008D03B1">
        <w:t>from</w:t>
      </w:r>
      <w:proofErr w:type="spellEnd"/>
      <w:r w:rsidRPr="008D03B1">
        <w:t xml:space="preserve"> DC QHR </w:t>
      </w:r>
      <w:proofErr w:type="spellStart"/>
      <w:r w:rsidRPr="008D03B1">
        <w:t>to</w:t>
      </w:r>
      <w:proofErr w:type="spellEnd"/>
      <w:r w:rsidRPr="008D03B1">
        <w:t xml:space="preserve"> </w:t>
      </w:r>
      <w:proofErr w:type="spellStart"/>
      <w:r w:rsidRPr="008D03B1">
        <w:t>Farad</w:t>
      </w:r>
      <w:proofErr w:type="spellEnd"/>
      <w:r w:rsidRPr="008D03B1">
        <w:t xml:space="preserve"> </w:t>
      </w:r>
      <w:proofErr w:type="spellStart"/>
      <w:r w:rsidRPr="008D03B1">
        <w:t>using</w:t>
      </w:r>
      <w:proofErr w:type="spellEnd"/>
      <w:r w:rsidRPr="008D03B1">
        <w:t xml:space="preserve"> </w:t>
      </w:r>
      <w:proofErr w:type="spellStart"/>
      <w:r w:rsidRPr="008D03B1">
        <w:t>Digitally</w:t>
      </w:r>
      <w:proofErr w:type="spellEnd"/>
      <w:r w:rsidRPr="008D03B1">
        <w:t xml:space="preserve"> </w:t>
      </w:r>
      <w:proofErr w:type="spellStart"/>
      <w:r w:rsidRPr="008D03B1">
        <w:t>Assisted</w:t>
      </w:r>
      <w:proofErr w:type="spellEnd"/>
      <w:r w:rsidRPr="008D03B1">
        <w:t xml:space="preserve"> </w:t>
      </w:r>
      <w:proofErr w:type="spellStart"/>
      <w:r w:rsidRPr="008D03B1">
        <w:t>Coaxial</w:t>
      </w:r>
      <w:proofErr w:type="spellEnd"/>
      <w:r w:rsidRPr="008D03B1">
        <w:t xml:space="preserve"> </w:t>
      </w:r>
      <w:proofErr w:type="spellStart"/>
      <w:r w:rsidRPr="008D03B1">
        <w:t>Bridges</w:t>
      </w:r>
      <w:proofErr w:type="spellEnd"/>
      <w:r w:rsidRPr="008D03B1">
        <w:t xml:space="preserve">" IEEE </w:t>
      </w:r>
      <w:proofErr w:type="spellStart"/>
      <w:r w:rsidRPr="008D03B1">
        <w:t>Trans</w:t>
      </w:r>
      <w:proofErr w:type="spellEnd"/>
      <w:r w:rsidRPr="008D03B1">
        <w:t xml:space="preserve">. </w:t>
      </w:r>
      <w:proofErr w:type="spellStart"/>
      <w:r w:rsidRPr="008D03B1">
        <w:t>Instrum</w:t>
      </w:r>
      <w:proofErr w:type="spellEnd"/>
      <w:r w:rsidRPr="008D03B1">
        <w:t xml:space="preserve">. </w:t>
      </w:r>
      <w:proofErr w:type="spellStart"/>
      <w:r w:rsidRPr="008D03B1">
        <w:t>Meas</w:t>
      </w:r>
      <w:proofErr w:type="spellEnd"/>
      <w:r w:rsidRPr="008D03B1">
        <w:t xml:space="preserve">., </w:t>
      </w:r>
      <w:proofErr w:type="spellStart"/>
      <w:r w:rsidRPr="008D03B1">
        <w:t>vol</w:t>
      </w:r>
      <w:proofErr w:type="spellEnd"/>
      <w:r w:rsidRPr="008D03B1">
        <w:t xml:space="preserve">. 68, </w:t>
      </w:r>
      <w:proofErr w:type="spellStart"/>
      <w:r w:rsidRPr="008D03B1">
        <w:t>No</w:t>
      </w:r>
      <w:proofErr w:type="spellEnd"/>
      <w:r w:rsidRPr="008D03B1">
        <w:t xml:space="preserve"> 6, </w:t>
      </w:r>
      <w:proofErr w:type="spellStart"/>
      <w:r w:rsidRPr="008D03B1">
        <w:t>pp</w:t>
      </w:r>
      <w:proofErr w:type="spellEnd"/>
      <w:r w:rsidRPr="008D03B1">
        <w:t>. 1941</w:t>
      </w:r>
      <w:r w:rsidR="001A5AC1">
        <w:t>-</w:t>
      </w:r>
      <w:r w:rsidRPr="008D03B1">
        <w:t>1947, 2019.</w:t>
      </w:r>
    </w:p>
    <w:p w:rsidR="000A7950" w:rsidRPr="008D03B1" w:rsidRDefault="001A5AC1" w:rsidP="008D03B1">
      <w:pPr>
        <w:pStyle w:val="a0"/>
      </w:pPr>
      <w:r>
        <w:t xml:space="preserve">Семёнов Ю.П., </w:t>
      </w:r>
      <w:r w:rsidRPr="008D03B1">
        <w:t xml:space="preserve">Кривицкая </w:t>
      </w:r>
      <w:r>
        <w:t>Е.</w:t>
      </w:r>
      <w:r w:rsidR="000A7950" w:rsidRPr="008D03B1">
        <w:t xml:space="preserve">В. Определение частотных характеристик резисторов квадратурного моста. </w:t>
      </w:r>
      <w:r>
        <w:t xml:space="preserve">// </w:t>
      </w:r>
      <w:r w:rsidR="000A7950" w:rsidRPr="008D03B1">
        <w:t xml:space="preserve">76-я Научно-техническая конференция Санкт-Петербургского НТО РЭС им. А.С. Попова, посвященная Дню радио: сб. докладов [Электронный ресурс] / </w:t>
      </w:r>
      <w:proofErr w:type="spellStart"/>
      <w:r w:rsidR="000A7950" w:rsidRPr="008D03B1">
        <w:t>СПбГЭТУ</w:t>
      </w:r>
      <w:proofErr w:type="spellEnd"/>
      <w:r w:rsidR="000A7950" w:rsidRPr="008D03B1">
        <w:t xml:space="preserve"> «ЛЭТИ». </w:t>
      </w:r>
      <w:r w:rsidR="00EA204A" w:rsidRPr="008D03B1">
        <w:t>Санкт-Петербург, стр. 322-326</w:t>
      </w:r>
      <w:r w:rsidR="009B7234" w:rsidRPr="008D03B1">
        <w:t>, 2021</w:t>
      </w:r>
    </w:p>
    <w:p w:rsidR="008D03B1" w:rsidRDefault="001B76EC" w:rsidP="008D03B1">
      <w:pPr>
        <w:pStyle w:val="a0"/>
      </w:pPr>
      <w:r w:rsidRPr="008D03B1">
        <w:t xml:space="preserve">R.D. </w:t>
      </w:r>
      <w:proofErr w:type="spellStart"/>
      <w:r w:rsidRPr="008D03B1">
        <w:t>Lee</w:t>
      </w:r>
      <w:proofErr w:type="spellEnd"/>
      <w:r w:rsidRPr="008D03B1">
        <w:t xml:space="preserve">, H.J. </w:t>
      </w:r>
      <w:proofErr w:type="spellStart"/>
      <w:r w:rsidRPr="008D03B1">
        <w:t>Kim</w:t>
      </w:r>
      <w:proofErr w:type="spellEnd"/>
      <w:r w:rsidRPr="008D03B1">
        <w:t xml:space="preserve">, </w:t>
      </w:r>
      <w:proofErr w:type="spellStart"/>
      <w:r w:rsidRPr="008D03B1">
        <w:t>and</w:t>
      </w:r>
      <w:proofErr w:type="spellEnd"/>
      <w:r w:rsidRPr="008D03B1">
        <w:t xml:space="preserve"> Y.P. </w:t>
      </w:r>
      <w:proofErr w:type="spellStart"/>
      <w:r w:rsidRPr="008D03B1">
        <w:t>Semenov</w:t>
      </w:r>
      <w:proofErr w:type="spellEnd"/>
      <w:r w:rsidRPr="008D03B1">
        <w:t xml:space="preserve"> “</w:t>
      </w:r>
      <w:proofErr w:type="spellStart"/>
      <w:r w:rsidRPr="008D03B1">
        <w:t>New</w:t>
      </w:r>
      <w:proofErr w:type="spellEnd"/>
      <w:r w:rsidRPr="008D03B1">
        <w:t xml:space="preserve"> </w:t>
      </w:r>
      <w:proofErr w:type="spellStart"/>
      <w:r w:rsidRPr="008D03B1">
        <w:t>Stable</w:t>
      </w:r>
      <w:proofErr w:type="spellEnd"/>
      <w:r w:rsidRPr="008D03B1">
        <w:t xml:space="preserve"> 10 </w:t>
      </w:r>
      <w:proofErr w:type="spellStart"/>
      <w:r w:rsidRPr="008D03B1">
        <w:t>pF</w:t>
      </w:r>
      <w:proofErr w:type="spellEnd"/>
      <w:r w:rsidRPr="008D03B1">
        <w:t xml:space="preserve"> </w:t>
      </w:r>
      <w:proofErr w:type="spellStart"/>
      <w:r w:rsidRPr="008D03B1">
        <w:t>Gas-Dielectric</w:t>
      </w:r>
      <w:proofErr w:type="spellEnd"/>
      <w:r w:rsidRPr="008D03B1">
        <w:t xml:space="preserve"> </w:t>
      </w:r>
      <w:proofErr w:type="spellStart"/>
      <w:r w:rsidRPr="008D03B1">
        <w:t>Capacitor</w:t>
      </w:r>
      <w:proofErr w:type="spellEnd"/>
      <w:r w:rsidRPr="008D03B1">
        <w:t xml:space="preserve">” IEEE </w:t>
      </w:r>
      <w:proofErr w:type="spellStart"/>
      <w:r w:rsidRPr="008D03B1">
        <w:t>Trans</w:t>
      </w:r>
      <w:proofErr w:type="spellEnd"/>
      <w:r w:rsidRPr="008D03B1">
        <w:t xml:space="preserve">. </w:t>
      </w:r>
      <w:proofErr w:type="spellStart"/>
      <w:r w:rsidRPr="008D03B1">
        <w:t>Instr</w:t>
      </w:r>
      <w:proofErr w:type="spellEnd"/>
      <w:r w:rsidRPr="008D03B1">
        <w:t xml:space="preserve">. </w:t>
      </w:r>
      <w:proofErr w:type="spellStart"/>
      <w:r w:rsidRPr="008D03B1">
        <w:t>Meas</w:t>
      </w:r>
      <w:proofErr w:type="spellEnd"/>
      <w:r w:rsidRPr="008D03B1">
        <w:t xml:space="preserve">., 50, </w:t>
      </w:r>
      <w:proofErr w:type="spellStart"/>
      <w:r w:rsidRPr="008D03B1">
        <w:t>No</w:t>
      </w:r>
      <w:proofErr w:type="spellEnd"/>
      <w:r w:rsidRPr="008D03B1">
        <w:t xml:space="preserve"> 2, </w:t>
      </w:r>
      <w:proofErr w:type="spellStart"/>
      <w:r w:rsidRPr="008D03B1">
        <w:t>pp</w:t>
      </w:r>
      <w:proofErr w:type="spellEnd"/>
      <w:r w:rsidRPr="008D03B1">
        <w:t>. 294-297</w:t>
      </w:r>
      <w:r w:rsidR="008D03B1">
        <w:t xml:space="preserve"> </w:t>
      </w:r>
    </w:p>
    <w:p w:rsidR="008D03B1" w:rsidRDefault="008D03B1" w:rsidP="008D03B1">
      <w:pPr>
        <w:sectPr w:rsidR="008D03B1" w:rsidSect="008D03B1">
          <w:type w:val="continuous"/>
          <w:pgSz w:w="11906" w:h="16838" w:code="9"/>
          <w:pgMar w:top="907" w:right="907" w:bottom="1440" w:left="907" w:header="709" w:footer="709" w:gutter="0"/>
          <w:cols w:num="2" w:space="340"/>
          <w:formProt w:val="0"/>
          <w:docGrid w:linePitch="360"/>
        </w:sectPr>
      </w:pPr>
    </w:p>
    <w:p w:rsidR="008D03B1" w:rsidRPr="008D03B1" w:rsidRDefault="008D03B1" w:rsidP="008D03B1"/>
    <w:sectPr w:rsidR="008D03B1" w:rsidRPr="008D03B1" w:rsidSect="008D03B1">
      <w:type w:val="continuous"/>
      <w:pgSz w:w="11906" w:h="16838" w:code="9"/>
      <w:pgMar w:top="907" w:right="907" w:bottom="1440" w:left="907" w:header="709" w:footer="709" w:gutter="0"/>
      <w:cols w:space="34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048" w:rsidRDefault="001E4048" w:rsidP="00F46B1D">
      <w:r>
        <w:separator/>
      </w:r>
    </w:p>
  </w:endnote>
  <w:endnote w:type="continuationSeparator" w:id="0">
    <w:p w:rsidR="001E4048" w:rsidRDefault="001E4048" w:rsidP="00F46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01"/>
    <w:family w:val="swiss"/>
    <w:pitch w:val="variable"/>
  </w:font>
  <w:font w:name="Microsoft YaHei">
    <w:panose1 w:val="020B0503020204020204"/>
    <w:charset w:val="86"/>
    <w:family w:val="swiss"/>
    <w:pitch w:val="variable"/>
    <w:sig w:usb0="A0000287" w:usb1="28C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02FF" w:usb1="4000ACFF" w:usb2="00000001" w:usb3="00000000" w:csb0="0000019F" w:csb1="00000000"/>
  </w:font>
  <w:font w:name="TimesNewRomanPS-BoldMT">
    <w:altName w:val="Times New Roman"/>
    <w:charset w:val="CC"/>
    <w:family w:val="roman"/>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9829726"/>
      <w:docPartObj>
        <w:docPartGallery w:val="Page Numbers (Bottom of Page)"/>
        <w:docPartUnique/>
      </w:docPartObj>
    </w:sdtPr>
    <w:sdtContent>
      <w:p w:rsidR="00F46B1D" w:rsidRDefault="00F46B1D">
        <w:pPr>
          <w:pStyle w:val="af2"/>
          <w:jc w:val="center"/>
        </w:pPr>
        <w:r>
          <w:fldChar w:fldCharType="begin"/>
        </w:r>
        <w:r>
          <w:instrText>PAGE   \* MERGEFORMAT</w:instrText>
        </w:r>
        <w:r>
          <w:fldChar w:fldCharType="separate"/>
        </w:r>
        <w:r w:rsidR="005A70FF">
          <w:rPr>
            <w:noProof/>
          </w:rPr>
          <w:t>410</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048" w:rsidRDefault="001E4048" w:rsidP="00F46B1D">
      <w:r>
        <w:separator/>
      </w:r>
    </w:p>
  </w:footnote>
  <w:footnote w:type="continuationSeparator" w:id="0">
    <w:p w:rsidR="001E4048" w:rsidRDefault="001E4048" w:rsidP="00F46B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77565"/>
    <w:multiLevelType w:val="multilevel"/>
    <w:tmpl w:val="27762EE2"/>
    <w:lvl w:ilvl="0">
      <w:start w:val="1"/>
      <w:numFmt w:val="decimal"/>
      <w:lvlText w:val="[%1]"/>
      <w:lvlJc w:val="left"/>
      <w:pPr>
        <w:tabs>
          <w:tab w:val="num" w:pos="360"/>
        </w:tabs>
        <w:ind w:left="360" w:hanging="360"/>
      </w:pPr>
      <w:rPr>
        <w:rFonts w:cs="Times New Roman"/>
        <w:b w:val="0"/>
        <w:bCs w:val="0"/>
        <w:i w:val="0"/>
        <w:iCs w:val="0"/>
        <w:sz w:val="16"/>
        <w:szCs w:val="16"/>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DD319B8"/>
    <w:multiLevelType w:val="multilevel"/>
    <w:tmpl w:val="D110F67A"/>
    <w:lvl w:ilvl="0">
      <w:start w:val="1"/>
      <w:numFmt w:val="upperRoman"/>
      <w:lvlText w:val="%1."/>
      <w:lvlJc w:val="center"/>
      <w:pPr>
        <w:tabs>
          <w:tab w:val="num" w:pos="576"/>
        </w:tabs>
        <w:ind w:left="720" w:firstLine="216"/>
      </w:pPr>
      <w:rPr>
        <w:rFonts w:cs="Times New Roman"/>
        <w:caps w:val="0"/>
        <w:smallCaps w:val="0"/>
        <w:strike w:val="0"/>
        <w:dstrike w:val="0"/>
        <w:vanish w:val="0"/>
        <w:color w:val="00000A"/>
        <w:position w:val="0"/>
        <w:sz w:val="20"/>
        <w:szCs w:val="20"/>
        <w:vertAlign w:val="baseline"/>
      </w:rPr>
    </w:lvl>
    <w:lvl w:ilvl="1">
      <w:start w:val="1"/>
      <w:numFmt w:val="upperLetter"/>
      <w:lvlText w:val="%2."/>
      <w:lvlJc w:val="left"/>
      <w:pPr>
        <w:tabs>
          <w:tab w:val="num" w:pos="2204"/>
        </w:tabs>
        <w:ind w:left="2132" w:hanging="288"/>
      </w:pPr>
      <w:rPr>
        <w:rFonts w:cs="Times New Roman"/>
        <w:b w:val="0"/>
        <w:bCs w:val="0"/>
        <w:i/>
        <w:iCs/>
        <w:caps w:val="0"/>
        <w:smallCaps w:val="0"/>
        <w:strike w:val="0"/>
        <w:dstrike w:val="0"/>
        <w:vanish w:val="0"/>
        <w:color w:val="00000A"/>
        <w:position w:val="0"/>
        <w:sz w:val="20"/>
        <w:szCs w:val="20"/>
        <w:vertAlign w:val="baseline"/>
      </w:rPr>
    </w:lvl>
    <w:lvl w:ilvl="2">
      <w:start w:val="1"/>
      <w:numFmt w:val="decimal"/>
      <w:lvlText w:val="%3)"/>
      <w:lvlJc w:val="left"/>
      <w:pPr>
        <w:tabs>
          <w:tab w:val="num" w:pos="1353"/>
        </w:tabs>
        <w:ind w:left="1440" w:firstLine="180"/>
      </w:pPr>
      <w:rPr>
        <w:rFonts w:cs="Times New Roman"/>
        <w:b w:val="0"/>
        <w:bCs w:val="0"/>
        <w:i/>
        <w:iCs/>
        <w:caps w:val="0"/>
        <w:smallCaps w:val="0"/>
        <w:strike w:val="0"/>
        <w:dstrike w:val="0"/>
        <w:vanish w:val="0"/>
        <w:color w:val="00000A"/>
        <w:position w:val="0"/>
        <w:sz w:val="20"/>
        <w:szCs w:val="20"/>
        <w:vertAlign w:val="baseline"/>
      </w:rPr>
    </w:lvl>
    <w:lvl w:ilvl="3">
      <w:start w:val="1"/>
      <w:numFmt w:val="lowerLetter"/>
      <w:lvlText w:val="%4)"/>
      <w:lvlJc w:val="left"/>
      <w:pPr>
        <w:tabs>
          <w:tab w:val="num" w:pos="928"/>
        </w:tabs>
        <w:ind w:left="1800" w:firstLine="360"/>
      </w:pPr>
      <w:rPr>
        <w:rFonts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2">
    <w:nsid w:val="29FB4619"/>
    <w:multiLevelType w:val="multilevel"/>
    <w:tmpl w:val="FF28494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4">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6">
    <w:nsid w:val="4728120A"/>
    <w:multiLevelType w:val="hybridMultilevel"/>
    <w:tmpl w:val="7BE69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FC85607"/>
    <w:multiLevelType w:val="multilevel"/>
    <w:tmpl w:val="27762EE2"/>
    <w:lvl w:ilvl="0">
      <w:start w:val="1"/>
      <w:numFmt w:val="decimal"/>
      <w:lvlText w:val="[%1]"/>
      <w:lvlJc w:val="left"/>
      <w:pPr>
        <w:tabs>
          <w:tab w:val="num" w:pos="360"/>
        </w:tabs>
        <w:ind w:left="360" w:hanging="360"/>
      </w:pPr>
      <w:rPr>
        <w:rFonts w:cs="Times New Roman"/>
        <w:b w:val="0"/>
        <w:bCs w:val="0"/>
        <w:i w:val="0"/>
        <w:iCs w:val="0"/>
        <w:sz w:val="16"/>
        <w:szCs w:val="16"/>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AD87804"/>
    <w:multiLevelType w:val="multilevel"/>
    <w:tmpl w:val="FFFFFFFF"/>
    <w:lvl w:ilvl="0">
      <w:start w:val="1"/>
      <w:numFmt w:val="decimal"/>
      <w:lvlText w:val="[%1]"/>
      <w:lvlJc w:val="left"/>
      <w:pPr>
        <w:tabs>
          <w:tab w:val="num" w:pos="360"/>
        </w:tabs>
        <w:ind w:left="360" w:hanging="360"/>
      </w:pPr>
      <w:rPr>
        <w:rFonts w:cs="Times New Roman"/>
        <w:b w:val="0"/>
        <w:bCs w:val="0"/>
        <w:i w:val="0"/>
        <w:iCs w:val="0"/>
        <w:sz w:val="16"/>
        <w:szCs w:val="16"/>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7F2870C2"/>
    <w:multiLevelType w:val="multilevel"/>
    <w:tmpl w:val="C4DEFD86"/>
    <w:lvl w:ilvl="0">
      <w:start w:val="1"/>
      <w:numFmt w:val="decimal"/>
      <w:lvlText w:val="%1"/>
      <w:lvlJc w:val="left"/>
      <w:pPr>
        <w:tabs>
          <w:tab w:val="num" w:pos="-218"/>
        </w:tabs>
        <w:ind w:left="502" w:hanging="360"/>
      </w:pPr>
      <w:rPr>
        <w:rFonts w:ascii="Times New Roman" w:eastAsiaTheme="minorEastAsia" w:hAnsi="Times New Roman" w:cs="Times New Roman"/>
      </w:rPr>
    </w:lvl>
    <w:lvl w:ilvl="1">
      <w:start w:val="1"/>
      <w:numFmt w:val="lowerLetter"/>
      <w:lvlText w:val="%2."/>
      <w:lvlJc w:val="left"/>
      <w:pPr>
        <w:tabs>
          <w:tab w:val="num" w:pos="-218"/>
        </w:tabs>
        <w:ind w:left="1222" w:hanging="360"/>
      </w:pPr>
    </w:lvl>
    <w:lvl w:ilvl="2">
      <w:start w:val="1"/>
      <w:numFmt w:val="lowerRoman"/>
      <w:lvlText w:val="%3."/>
      <w:lvlJc w:val="right"/>
      <w:pPr>
        <w:tabs>
          <w:tab w:val="num" w:pos="-218"/>
        </w:tabs>
        <w:ind w:left="1942" w:hanging="180"/>
      </w:pPr>
    </w:lvl>
    <w:lvl w:ilvl="3">
      <w:start w:val="1"/>
      <w:numFmt w:val="decimal"/>
      <w:lvlText w:val="%4."/>
      <w:lvlJc w:val="left"/>
      <w:pPr>
        <w:tabs>
          <w:tab w:val="num" w:pos="-218"/>
        </w:tabs>
        <w:ind w:left="2662" w:hanging="360"/>
      </w:pPr>
    </w:lvl>
    <w:lvl w:ilvl="4">
      <w:start w:val="1"/>
      <w:numFmt w:val="lowerLetter"/>
      <w:lvlText w:val="%5."/>
      <w:lvlJc w:val="left"/>
      <w:pPr>
        <w:tabs>
          <w:tab w:val="num" w:pos="-218"/>
        </w:tabs>
        <w:ind w:left="3382" w:hanging="360"/>
      </w:pPr>
    </w:lvl>
    <w:lvl w:ilvl="5">
      <w:start w:val="1"/>
      <w:numFmt w:val="lowerRoman"/>
      <w:lvlText w:val="%6."/>
      <w:lvlJc w:val="right"/>
      <w:pPr>
        <w:tabs>
          <w:tab w:val="num" w:pos="-218"/>
        </w:tabs>
        <w:ind w:left="4102" w:hanging="180"/>
      </w:pPr>
    </w:lvl>
    <w:lvl w:ilvl="6">
      <w:start w:val="1"/>
      <w:numFmt w:val="decimal"/>
      <w:lvlText w:val="%7."/>
      <w:lvlJc w:val="left"/>
      <w:pPr>
        <w:tabs>
          <w:tab w:val="num" w:pos="-218"/>
        </w:tabs>
        <w:ind w:left="4822" w:hanging="360"/>
      </w:pPr>
    </w:lvl>
    <w:lvl w:ilvl="7">
      <w:start w:val="1"/>
      <w:numFmt w:val="lowerLetter"/>
      <w:lvlText w:val="%8."/>
      <w:lvlJc w:val="left"/>
      <w:pPr>
        <w:tabs>
          <w:tab w:val="num" w:pos="-218"/>
        </w:tabs>
        <w:ind w:left="5542" w:hanging="360"/>
      </w:pPr>
    </w:lvl>
    <w:lvl w:ilvl="8">
      <w:start w:val="1"/>
      <w:numFmt w:val="lowerRoman"/>
      <w:lvlText w:val="%9."/>
      <w:lvlJc w:val="right"/>
      <w:pPr>
        <w:tabs>
          <w:tab w:val="num" w:pos="-218"/>
        </w:tabs>
        <w:ind w:left="6262" w:hanging="180"/>
      </w:pPr>
    </w:lvl>
  </w:abstractNum>
  <w:num w:numId="1">
    <w:abstractNumId w:val="11"/>
  </w:num>
  <w:num w:numId="2">
    <w:abstractNumId w:val="8"/>
  </w:num>
  <w:num w:numId="3">
    <w:abstractNumId w:val="1"/>
  </w:num>
  <w:num w:numId="4">
    <w:abstractNumId w:val="2"/>
  </w:num>
  <w:num w:numId="5">
    <w:abstractNumId w:val="10"/>
  </w:num>
  <w:num w:numId="6">
    <w:abstractNumId w:val="0"/>
  </w:num>
  <w:num w:numId="7">
    <w:abstractNumId w:val="5"/>
  </w:num>
  <w:num w:numId="8">
    <w:abstractNumId w:val="5"/>
  </w:num>
  <w:num w:numId="9">
    <w:abstractNumId w:val="5"/>
  </w:num>
  <w:num w:numId="10">
    <w:abstractNumId w:val="5"/>
  </w:num>
  <w:num w:numId="11">
    <w:abstractNumId w:val="4"/>
  </w:num>
  <w:num w:numId="12">
    <w:abstractNumId w:val="7"/>
  </w:num>
  <w:num w:numId="13">
    <w:abstractNumId w:val="3"/>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EE3"/>
    <w:rsid w:val="000A7950"/>
    <w:rsid w:val="000E6040"/>
    <w:rsid w:val="0010181E"/>
    <w:rsid w:val="001A5AC1"/>
    <w:rsid w:val="001B1C06"/>
    <w:rsid w:val="001B69F0"/>
    <w:rsid w:val="001B76EC"/>
    <w:rsid w:val="001C12E5"/>
    <w:rsid w:val="001E4048"/>
    <w:rsid w:val="00202B71"/>
    <w:rsid w:val="00245332"/>
    <w:rsid w:val="00291338"/>
    <w:rsid w:val="0029759C"/>
    <w:rsid w:val="002C3530"/>
    <w:rsid w:val="003034F3"/>
    <w:rsid w:val="003A2C0E"/>
    <w:rsid w:val="003C699A"/>
    <w:rsid w:val="003D0E53"/>
    <w:rsid w:val="003F406D"/>
    <w:rsid w:val="00491AC1"/>
    <w:rsid w:val="004B5271"/>
    <w:rsid w:val="0056300D"/>
    <w:rsid w:val="005664CA"/>
    <w:rsid w:val="005A70FF"/>
    <w:rsid w:val="00667A8A"/>
    <w:rsid w:val="006718C5"/>
    <w:rsid w:val="0068183E"/>
    <w:rsid w:val="006A698B"/>
    <w:rsid w:val="007571EA"/>
    <w:rsid w:val="00785DE7"/>
    <w:rsid w:val="007C0BDA"/>
    <w:rsid w:val="007C2BB6"/>
    <w:rsid w:val="007D0920"/>
    <w:rsid w:val="007F357A"/>
    <w:rsid w:val="007F55F8"/>
    <w:rsid w:val="008452C1"/>
    <w:rsid w:val="008A7C5A"/>
    <w:rsid w:val="008C52D5"/>
    <w:rsid w:val="008D03B1"/>
    <w:rsid w:val="00952EE3"/>
    <w:rsid w:val="009B7234"/>
    <w:rsid w:val="00A6168B"/>
    <w:rsid w:val="00A747C4"/>
    <w:rsid w:val="00A84B63"/>
    <w:rsid w:val="00AA10C4"/>
    <w:rsid w:val="00B43484"/>
    <w:rsid w:val="00BE796F"/>
    <w:rsid w:val="00C13B20"/>
    <w:rsid w:val="00C93264"/>
    <w:rsid w:val="00C93FC5"/>
    <w:rsid w:val="00D24784"/>
    <w:rsid w:val="00D71258"/>
    <w:rsid w:val="00D77B48"/>
    <w:rsid w:val="00D9259E"/>
    <w:rsid w:val="00E0112D"/>
    <w:rsid w:val="00E27946"/>
    <w:rsid w:val="00E60D41"/>
    <w:rsid w:val="00E7725D"/>
    <w:rsid w:val="00EA204A"/>
    <w:rsid w:val="00EA396F"/>
    <w:rsid w:val="00F03A7A"/>
    <w:rsid w:val="00F46B1D"/>
    <w:rsid w:val="00FA2D49"/>
    <w:rsid w:val="00FC3CD9"/>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ru-RU" w:eastAsia="ru-RU" w:bidi="ar-SA"/>
        <w14:ligatures w14:val="standardContextual"/>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qFormat="1"/>
    <w:lsdException w:name="heading 4" w:uiPriority="1"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2">
    <w:name w:val="Normal"/>
    <w:qFormat/>
    <w:rsid w:val="008D03B1"/>
    <w:rPr>
      <w:rFonts w:ascii="Times New Roman" w:eastAsia="Times New Roman" w:hAnsi="Times New Roman" w:cs="Times New Roman"/>
      <w:kern w:val="0"/>
      <w:sz w:val="20"/>
      <w:szCs w:val="20"/>
      <w:lang w:eastAsia="en-US"/>
      <w14:ligatures w14:val="none"/>
    </w:rPr>
  </w:style>
  <w:style w:type="paragraph" w:styleId="1">
    <w:name w:val="heading 1"/>
    <w:basedOn w:val="a2"/>
    <w:next w:val="a3"/>
    <w:link w:val="10"/>
    <w:qFormat/>
    <w:rsid w:val="008D03B1"/>
    <w:pPr>
      <w:keepNext/>
      <w:keepLines/>
      <w:numPr>
        <w:numId w:val="10"/>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8D03B1"/>
    <w:pPr>
      <w:keepNext/>
      <w:keepLines/>
      <w:numPr>
        <w:ilvl w:val="1"/>
        <w:numId w:val="10"/>
      </w:numPr>
      <w:suppressAutoHyphens w:val="0"/>
      <w:spacing w:before="120" w:after="60"/>
      <w:outlineLvl w:val="1"/>
    </w:pPr>
    <w:rPr>
      <w:rFonts w:eastAsia="SimSun"/>
      <w:i/>
      <w:iCs/>
      <w:noProof/>
    </w:rPr>
  </w:style>
  <w:style w:type="paragraph" w:styleId="3">
    <w:name w:val="heading 3"/>
    <w:basedOn w:val="a2"/>
    <w:next w:val="a2"/>
    <w:link w:val="30"/>
    <w:uiPriority w:val="1"/>
    <w:rsid w:val="008D03B1"/>
    <w:pPr>
      <w:numPr>
        <w:ilvl w:val="2"/>
        <w:numId w:val="10"/>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rsid w:val="008D03B1"/>
    <w:pPr>
      <w:numPr>
        <w:ilvl w:val="3"/>
        <w:numId w:val="10"/>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8D03B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8D03B1"/>
    <w:pPr>
      <w:keepNext/>
      <w:keepLines/>
      <w:spacing w:before="200"/>
      <w:outlineLvl w:val="5"/>
    </w:pPr>
    <w:rPr>
      <w:rFonts w:eastAsiaTheme="majorEastAsia" w:cstheme="majorBidi"/>
      <w:i/>
      <w:iCs/>
      <w:color w:val="000000" w:themeColor="text1"/>
    </w:rPr>
  </w:style>
  <w:style w:type="paragraph" w:styleId="7">
    <w:name w:val="heading 7"/>
    <w:basedOn w:val="a2"/>
    <w:next w:val="a2"/>
    <w:link w:val="70"/>
    <w:uiPriority w:val="9"/>
    <w:semiHidden/>
    <w:unhideWhenUsed/>
    <w:qFormat/>
    <w:rsid w:val="00CA68A1"/>
    <w:pPr>
      <w:keepNext/>
      <w:keepLines/>
      <w:spacing w:before="40"/>
      <w:outlineLvl w:val="6"/>
    </w:pPr>
    <w:rPr>
      <w:rFonts w:eastAsiaTheme="majorEastAsia" w:cstheme="majorBidi"/>
      <w:color w:val="595959" w:themeColor="text1" w:themeTint="A6"/>
    </w:rPr>
  </w:style>
  <w:style w:type="paragraph" w:styleId="8">
    <w:name w:val="heading 8"/>
    <w:basedOn w:val="a2"/>
    <w:next w:val="a2"/>
    <w:link w:val="80"/>
    <w:uiPriority w:val="9"/>
    <w:semiHidden/>
    <w:unhideWhenUsed/>
    <w:qFormat/>
    <w:rsid w:val="00CA68A1"/>
    <w:pPr>
      <w:keepNext/>
      <w:keepLines/>
      <w:outlineLvl w:val="7"/>
    </w:pPr>
    <w:rPr>
      <w:rFonts w:eastAsiaTheme="majorEastAsia" w:cstheme="majorBidi"/>
      <w:i/>
      <w:iCs/>
      <w:color w:val="272727" w:themeColor="text1" w:themeTint="D8"/>
    </w:rPr>
  </w:style>
  <w:style w:type="paragraph" w:styleId="9">
    <w:name w:val="heading 9"/>
    <w:basedOn w:val="a2"/>
    <w:next w:val="a2"/>
    <w:link w:val="90"/>
    <w:uiPriority w:val="9"/>
    <w:semiHidden/>
    <w:unhideWhenUsed/>
    <w:qFormat/>
    <w:rsid w:val="00CA68A1"/>
    <w:pPr>
      <w:keepNext/>
      <w:keepLines/>
      <w:outlineLvl w:val="8"/>
    </w:pPr>
    <w:rPr>
      <w:rFonts w:eastAsiaTheme="majorEastAsia" w:cstheme="majorBidi"/>
      <w:color w:val="272727" w:themeColor="text1" w:themeTint="D8"/>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link w:val="1"/>
    <w:rsid w:val="008D03B1"/>
    <w:rPr>
      <w:rFonts w:ascii="Times New Roman" w:eastAsia="SimSun" w:hAnsi="Times New Roman" w:cs="Times New Roman"/>
      <w:smallCaps/>
      <w:noProof/>
      <w:kern w:val="0"/>
      <w:sz w:val="20"/>
      <w:szCs w:val="20"/>
      <w:lang w:eastAsia="en-US"/>
      <w14:ligatures w14:val="none"/>
    </w:rPr>
  </w:style>
  <w:style w:type="character" w:customStyle="1" w:styleId="20">
    <w:name w:val="Заголовок 2 Знак"/>
    <w:basedOn w:val="a4"/>
    <w:link w:val="2"/>
    <w:rsid w:val="008D03B1"/>
    <w:rPr>
      <w:rFonts w:ascii="Times New Roman" w:eastAsia="SimSun" w:hAnsi="Times New Roman" w:cs="Times New Roman"/>
      <w:i/>
      <w:iCs/>
      <w:noProof/>
      <w:kern w:val="0"/>
      <w:sz w:val="20"/>
      <w:szCs w:val="20"/>
      <w:lang w:eastAsia="en-US"/>
      <w14:ligatures w14:val="none"/>
    </w:rPr>
  </w:style>
  <w:style w:type="character" w:customStyle="1" w:styleId="30">
    <w:name w:val="Заголовок 3 Знак"/>
    <w:basedOn w:val="a4"/>
    <w:link w:val="3"/>
    <w:uiPriority w:val="1"/>
    <w:rsid w:val="008D03B1"/>
    <w:rPr>
      <w:rFonts w:ascii="Times New Roman" w:eastAsia="SimSun" w:hAnsi="Times New Roman" w:cs="Times New Roman"/>
      <w:i/>
      <w:iCs/>
      <w:noProof/>
      <w:kern w:val="0"/>
      <w:sz w:val="20"/>
      <w:szCs w:val="20"/>
      <w:lang w:eastAsia="en-US"/>
      <w14:ligatures w14:val="none"/>
    </w:rPr>
  </w:style>
  <w:style w:type="character" w:customStyle="1" w:styleId="40">
    <w:name w:val="Заголовок 4 Знак"/>
    <w:basedOn w:val="a4"/>
    <w:link w:val="4"/>
    <w:uiPriority w:val="1"/>
    <w:rsid w:val="008D03B1"/>
    <w:rPr>
      <w:rFonts w:ascii="Times New Roman" w:eastAsia="SimSun" w:hAnsi="Times New Roman" w:cs="Times New Roman"/>
      <w:i/>
      <w:iCs/>
      <w:noProof/>
      <w:kern w:val="0"/>
      <w:sz w:val="20"/>
      <w:szCs w:val="20"/>
      <w:lang w:eastAsia="en-US"/>
      <w14:ligatures w14:val="none"/>
    </w:rPr>
  </w:style>
  <w:style w:type="character" w:customStyle="1" w:styleId="50">
    <w:name w:val="Заголовок 5 Знак"/>
    <w:basedOn w:val="a4"/>
    <w:link w:val="5"/>
    <w:rsid w:val="008D03B1"/>
    <w:rPr>
      <w:rFonts w:ascii="Times New Roman" w:eastAsia="SimSun" w:hAnsi="Times New Roman" w:cs="Times New Roman"/>
      <w:smallCaps/>
      <w:noProof/>
      <w:kern w:val="0"/>
      <w:sz w:val="20"/>
      <w:szCs w:val="20"/>
      <w:lang w:eastAsia="en-US"/>
      <w14:ligatures w14:val="none"/>
    </w:rPr>
  </w:style>
  <w:style w:type="character" w:customStyle="1" w:styleId="60">
    <w:name w:val="Заголовок 6 Знак"/>
    <w:basedOn w:val="a4"/>
    <w:link w:val="6"/>
    <w:uiPriority w:val="9"/>
    <w:semiHidden/>
    <w:rsid w:val="008D03B1"/>
    <w:rPr>
      <w:rFonts w:ascii="Times New Roman" w:eastAsiaTheme="majorEastAsia" w:hAnsi="Times New Roman" w:cstheme="majorBidi"/>
      <w:i/>
      <w:iCs/>
      <w:color w:val="000000" w:themeColor="text1"/>
      <w:kern w:val="0"/>
      <w:sz w:val="20"/>
      <w:szCs w:val="20"/>
      <w:lang w:eastAsia="en-US"/>
      <w14:ligatures w14:val="none"/>
    </w:rPr>
  </w:style>
  <w:style w:type="character" w:customStyle="1" w:styleId="70">
    <w:name w:val="Заголовок 7 Знак"/>
    <w:basedOn w:val="a4"/>
    <w:link w:val="7"/>
    <w:uiPriority w:val="9"/>
    <w:semiHidden/>
    <w:qFormat/>
    <w:rsid w:val="00CA68A1"/>
    <w:rPr>
      <w:rFonts w:eastAsiaTheme="majorEastAsia" w:cstheme="majorBidi"/>
      <w:color w:val="595959" w:themeColor="text1" w:themeTint="A6"/>
    </w:rPr>
  </w:style>
  <w:style w:type="character" w:customStyle="1" w:styleId="80">
    <w:name w:val="Заголовок 8 Знак"/>
    <w:basedOn w:val="a4"/>
    <w:link w:val="8"/>
    <w:uiPriority w:val="9"/>
    <w:semiHidden/>
    <w:qFormat/>
    <w:rsid w:val="00CA68A1"/>
    <w:rPr>
      <w:rFonts w:eastAsiaTheme="majorEastAsia" w:cstheme="majorBidi"/>
      <w:i/>
      <w:iCs/>
      <w:color w:val="272727" w:themeColor="text1" w:themeTint="D8"/>
    </w:rPr>
  </w:style>
  <w:style w:type="character" w:customStyle="1" w:styleId="90">
    <w:name w:val="Заголовок 9 Знак"/>
    <w:basedOn w:val="a4"/>
    <w:link w:val="9"/>
    <w:uiPriority w:val="9"/>
    <w:semiHidden/>
    <w:qFormat/>
    <w:rsid w:val="00CA68A1"/>
    <w:rPr>
      <w:rFonts w:eastAsiaTheme="majorEastAsia" w:cstheme="majorBidi"/>
      <w:color w:val="272727" w:themeColor="text1" w:themeTint="D8"/>
    </w:rPr>
  </w:style>
  <w:style w:type="character" w:customStyle="1" w:styleId="a7">
    <w:name w:val="Название Знак"/>
    <w:basedOn w:val="a4"/>
    <w:link w:val="a8"/>
    <w:rsid w:val="008D03B1"/>
    <w:rPr>
      <w:rFonts w:ascii="Times New Roman" w:eastAsiaTheme="majorEastAsia" w:hAnsi="Times New Roman" w:cstheme="majorBidi"/>
      <w:color w:val="000000" w:themeColor="text1"/>
      <w:kern w:val="28"/>
      <w:sz w:val="48"/>
      <w:szCs w:val="52"/>
      <w:lang w:eastAsia="en-US"/>
      <w14:ligatures w14:val="none"/>
    </w:rPr>
  </w:style>
  <w:style w:type="character" w:customStyle="1" w:styleId="a9">
    <w:name w:val="Подзаголовок Знак"/>
    <w:basedOn w:val="a4"/>
    <w:link w:val="aa"/>
    <w:uiPriority w:val="11"/>
    <w:qFormat/>
    <w:rsid w:val="00CA68A1"/>
    <w:rPr>
      <w:rFonts w:eastAsiaTheme="majorEastAsia" w:cstheme="majorBidi"/>
      <w:color w:val="595959" w:themeColor="text1" w:themeTint="A6"/>
      <w:spacing w:val="15"/>
      <w:sz w:val="28"/>
      <w:szCs w:val="28"/>
    </w:rPr>
  </w:style>
  <w:style w:type="character" w:customStyle="1" w:styleId="21">
    <w:name w:val="Цитата 2 Знак"/>
    <w:basedOn w:val="a4"/>
    <w:link w:val="22"/>
    <w:uiPriority w:val="29"/>
    <w:qFormat/>
    <w:rsid w:val="00CA68A1"/>
    <w:rPr>
      <w:i/>
      <w:iCs/>
      <w:color w:val="404040" w:themeColor="text1" w:themeTint="BF"/>
    </w:rPr>
  </w:style>
  <w:style w:type="character" w:styleId="ab">
    <w:name w:val="Intense Emphasis"/>
    <w:basedOn w:val="a4"/>
    <w:uiPriority w:val="21"/>
    <w:qFormat/>
    <w:rsid w:val="00CA68A1"/>
    <w:rPr>
      <w:i/>
      <w:iCs/>
      <w:color w:val="0F4761" w:themeColor="accent1" w:themeShade="BF"/>
    </w:rPr>
  </w:style>
  <w:style w:type="character" w:customStyle="1" w:styleId="ac">
    <w:name w:val="Выделенная цитата Знак"/>
    <w:basedOn w:val="a4"/>
    <w:link w:val="ad"/>
    <w:uiPriority w:val="30"/>
    <w:qFormat/>
    <w:rsid w:val="00CA68A1"/>
    <w:rPr>
      <w:i/>
      <w:iCs/>
      <w:color w:val="0F4761" w:themeColor="accent1" w:themeShade="BF"/>
    </w:rPr>
  </w:style>
  <w:style w:type="character" w:styleId="ae">
    <w:name w:val="Intense Reference"/>
    <w:basedOn w:val="a4"/>
    <w:uiPriority w:val="32"/>
    <w:qFormat/>
    <w:rsid w:val="00CA68A1"/>
    <w:rPr>
      <w:b/>
      <w:bCs/>
      <w:smallCaps/>
      <w:color w:val="0F4761" w:themeColor="accent1" w:themeShade="BF"/>
      <w:spacing w:val="5"/>
    </w:rPr>
  </w:style>
  <w:style w:type="character" w:customStyle="1" w:styleId="af">
    <w:name w:val="Верхний колонтитул Знак"/>
    <w:basedOn w:val="a4"/>
    <w:link w:val="af0"/>
    <w:uiPriority w:val="99"/>
    <w:qFormat/>
    <w:rsid w:val="00CA68A1"/>
  </w:style>
  <w:style w:type="character" w:customStyle="1" w:styleId="af1">
    <w:name w:val="Нижний колонтитул Знак"/>
    <w:basedOn w:val="a4"/>
    <w:link w:val="af2"/>
    <w:uiPriority w:val="99"/>
    <w:qFormat/>
    <w:rsid w:val="00CA68A1"/>
  </w:style>
  <w:style w:type="character" w:customStyle="1" w:styleId="t286pc">
    <w:name w:val="t286pc"/>
    <w:basedOn w:val="a4"/>
    <w:qFormat/>
    <w:rsid w:val="00CA68A1"/>
  </w:style>
  <w:style w:type="character" w:styleId="af3">
    <w:name w:val="Strong"/>
    <w:basedOn w:val="a4"/>
    <w:uiPriority w:val="22"/>
    <w:qFormat/>
    <w:rsid w:val="00CA68A1"/>
    <w:rPr>
      <w:b/>
      <w:bCs/>
    </w:rPr>
  </w:style>
  <w:style w:type="character" w:customStyle="1" w:styleId="apple-converted-space">
    <w:name w:val="apple-converted-space"/>
    <w:basedOn w:val="a4"/>
    <w:qFormat/>
    <w:rsid w:val="00CA68A1"/>
  </w:style>
  <w:style w:type="character" w:customStyle="1" w:styleId="dtet0b">
    <w:name w:val="dtet0b"/>
    <w:basedOn w:val="a4"/>
    <w:qFormat/>
    <w:rsid w:val="00CA68A1"/>
  </w:style>
  <w:style w:type="character" w:customStyle="1" w:styleId="vkekvd">
    <w:name w:val="vkekvd"/>
    <w:basedOn w:val="a4"/>
    <w:qFormat/>
    <w:rsid w:val="00CA68A1"/>
  </w:style>
  <w:style w:type="character" w:customStyle="1" w:styleId="ifmvxd">
    <w:name w:val="ifmvxd"/>
    <w:basedOn w:val="a4"/>
    <w:qFormat/>
    <w:rsid w:val="00CA68A1"/>
  </w:style>
  <w:style w:type="character" w:customStyle="1" w:styleId="ijm6od">
    <w:name w:val="ijm6od"/>
    <w:basedOn w:val="a4"/>
    <w:qFormat/>
    <w:rsid w:val="00CA68A1"/>
  </w:style>
  <w:style w:type="character" w:styleId="af4">
    <w:name w:val="Emphasis"/>
    <w:basedOn w:val="a4"/>
    <w:uiPriority w:val="20"/>
    <w:qFormat/>
    <w:rsid w:val="00CA68A1"/>
    <w:rPr>
      <w:i/>
      <w:iCs/>
    </w:rPr>
  </w:style>
  <w:style w:type="character" w:styleId="af5">
    <w:name w:val="Placeholder Text"/>
    <w:basedOn w:val="a4"/>
    <w:uiPriority w:val="99"/>
    <w:semiHidden/>
    <w:qFormat/>
    <w:rsid w:val="00CA68A1"/>
    <w:rPr>
      <w:color w:val="666666"/>
    </w:rPr>
  </w:style>
  <w:style w:type="character" w:customStyle="1" w:styleId="text">
    <w:name w:val="text"/>
    <w:basedOn w:val="a4"/>
    <w:qFormat/>
    <w:rsid w:val="0043603D"/>
  </w:style>
  <w:style w:type="character" w:customStyle="1" w:styleId="page">
    <w:name w:val="page"/>
    <w:basedOn w:val="a4"/>
    <w:qFormat/>
    <w:rsid w:val="0043603D"/>
  </w:style>
  <w:style w:type="character" w:customStyle="1" w:styleId="InternetLink">
    <w:name w:val="Internet Link"/>
    <w:basedOn w:val="a4"/>
    <w:uiPriority w:val="99"/>
    <w:semiHidden/>
    <w:unhideWhenUsed/>
    <w:qFormat/>
    <w:rsid w:val="0043603D"/>
    <w:rPr>
      <w:color w:val="0000FF"/>
      <w:u w:val="single"/>
    </w:rPr>
  </w:style>
  <w:style w:type="character" w:styleId="af6">
    <w:name w:val="annotation reference"/>
    <w:basedOn w:val="a4"/>
    <w:uiPriority w:val="99"/>
    <w:semiHidden/>
    <w:unhideWhenUsed/>
    <w:qFormat/>
    <w:rsid w:val="004275EA"/>
    <w:rPr>
      <w:sz w:val="16"/>
      <w:szCs w:val="16"/>
    </w:rPr>
  </w:style>
  <w:style w:type="character" w:customStyle="1" w:styleId="af7">
    <w:name w:val="Текст примечания Знак"/>
    <w:basedOn w:val="a4"/>
    <w:link w:val="af8"/>
    <w:uiPriority w:val="99"/>
    <w:semiHidden/>
    <w:qFormat/>
    <w:rsid w:val="004275EA"/>
    <w:rPr>
      <w:sz w:val="20"/>
      <w:szCs w:val="20"/>
    </w:rPr>
  </w:style>
  <w:style w:type="character" w:customStyle="1" w:styleId="af9">
    <w:name w:val="Тема примечания Знак"/>
    <w:basedOn w:val="af7"/>
    <w:link w:val="afa"/>
    <w:uiPriority w:val="99"/>
    <w:semiHidden/>
    <w:qFormat/>
    <w:rsid w:val="004275EA"/>
    <w:rPr>
      <w:b/>
      <w:bCs/>
      <w:sz w:val="20"/>
      <w:szCs w:val="20"/>
    </w:rPr>
  </w:style>
  <w:style w:type="character" w:customStyle="1" w:styleId="afb">
    <w:name w:val="Текст выноски Знак"/>
    <w:basedOn w:val="a4"/>
    <w:link w:val="afc"/>
    <w:uiPriority w:val="99"/>
    <w:semiHidden/>
    <w:qFormat/>
    <w:rsid w:val="004275EA"/>
    <w:rPr>
      <w:rFonts w:ascii="Segoe UI" w:hAnsi="Segoe UI" w:cs="Segoe UI"/>
      <w:sz w:val="18"/>
      <w:szCs w:val="18"/>
    </w:rPr>
  </w:style>
  <w:style w:type="paragraph" w:customStyle="1" w:styleId="afd">
    <w:name w:val="Заголовок"/>
    <w:basedOn w:val="a2"/>
    <w:next w:val="a3"/>
    <w:qFormat/>
    <w:pPr>
      <w:keepNext/>
      <w:spacing w:before="240" w:after="120"/>
    </w:pPr>
    <w:rPr>
      <w:rFonts w:ascii="Liberation Sans" w:eastAsia="Microsoft YaHei" w:hAnsi="Liberation Sans" w:cs="Lucida Sans"/>
      <w:sz w:val="28"/>
      <w:szCs w:val="28"/>
    </w:rPr>
  </w:style>
  <w:style w:type="paragraph" w:styleId="a3">
    <w:name w:val="Body Text"/>
    <w:basedOn w:val="a2"/>
    <w:link w:val="afe"/>
    <w:rsid w:val="008D03B1"/>
    <w:pPr>
      <w:tabs>
        <w:tab w:val="left" w:pos="288"/>
      </w:tabs>
      <w:spacing w:after="120" w:line="228" w:lineRule="auto"/>
      <w:ind w:firstLine="289"/>
      <w:jc w:val="both"/>
    </w:pPr>
    <w:rPr>
      <w:rFonts w:eastAsia="MS Mincho"/>
      <w:spacing w:val="-1"/>
    </w:rPr>
  </w:style>
  <w:style w:type="paragraph" w:styleId="aff">
    <w:name w:val="List"/>
    <w:basedOn w:val="a3"/>
    <w:rPr>
      <w:rFonts w:cs="Lucida Sans"/>
    </w:rPr>
  </w:style>
  <w:style w:type="paragraph" w:styleId="aff0">
    <w:name w:val="caption"/>
    <w:basedOn w:val="a2"/>
    <w:qFormat/>
    <w:pPr>
      <w:suppressLineNumbers/>
      <w:spacing w:before="120" w:after="120"/>
    </w:pPr>
    <w:rPr>
      <w:rFonts w:cs="Lucida Sans"/>
      <w:i/>
      <w:iCs/>
    </w:rPr>
  </w:style>
  <w:style w:type="paragraph" w:styleId="aff1">
    <w:name w:val="index heading"/>
    <w:basedOn w:val="a2"/>
    <w:qFormat/>
    <w:pPr>
      <w:suppressLineNumbers/>
    </w:pPr>
    <w:rPr>
      <w:rFonts w:cs="Lucida Sans"/>
    </w:rPr>
  </w:style>
  <w:style w:type="paragraph" w:styleId="a8">
    <w:name w:val="Title"/>
    <w:basedOn w:val="a2"/>
    <w:next w:val="a2"/>
    <w:link w:val="a7"/>
    <w:qFormat/>
    <w:rsid w:val="008D03B1"/>
    <w:pPr>
      <w:spacing w:before="120" w:after="120"/>
      <w:contextualSpacing/>
      <w:jc w:val="center"/>
    </w:pPr>
    <w:rPr>
      <w:rFonts w:eastAsiaTheme="majorEastAsia" w:cstheme="majorBidi"/>
      <w:color w:val="000000" w:themeColor="text1"/>
      <w:kern w:val="28"/>
      <w:sz w:val="48"/>
      <w:szCs w:val="52"/>
    </w:rPr>
  </w:style>
  <w:style w:type="paragraph" w:styleId="aa">
    <w:name w:val="Subtitle"/>
    <w:basedOn w:val="a2"/>
    <w:next w:val="a2"/>
    <w:link w:val="a9"/>
    <w:uiPriority w:val="11"/>
    <w:qFormat/>
    <w:rsid w:val="00CA68A1"/>
    <w:rPr>
      <w:rFonts w:eastAsiaTheme="majorEastAsia" w:cstheme="majorBidi"/>
      <w:color w:val="595959" w:themeColor="text1" w:themeTint="A6"/>
      <w:spacing w:val="15"/>
      <w:sz w:val="28"/>
      <w:szCs w:val="28"/>
    </w:rPr>
  </w:style>
  <w:style w:type="paragraph" w:styleId="22">
    <w:name w:val="Quote"/>
    <w:basedOn w:val="a2"/>
    <w:next w:val="a2"/>
    <w:link w:val="21"/>
    <w:uiPriority w:val="29"/>
    <w:qFormat/>
    <w:rsid w:val="00CA68A1"/>
    <w:pPr>
      <w:spacing w:before="160"/>
      <w:jc w:val="center"/>
    </w:pPr>
    <w:rPr>
      <w:i/>
      <w:iCs/>
      <w:color w:val="404040" w:themeColor="text1" w:themeTint="BF"/>
    </w:rPr>
  </w:style>
  <w:style w:type="paragraph" w:styleId="aff2">
    <w:name w:val="List Paragraph"/>
    <w:basedOn w:val="a2"/>
    <w:uiPriority w:val="34"/>
    <w:qFormat/>
    <w:rsid w:val="00CA68A1"/>
    <w:pPr>
      <w:ind w:left="720"/>
      <w:contextualSpacing/>
    </w:pPr>
  </w:style>
  <w:style w:type="paragraph" w:styleId="ad">
    <w:name w:val="Intense Quote"/>
    <w:basedOn w:val="a2"/>
    <w:next w:val="a2"/>
    <w:link w:val="ac"/>
    <w:uiPriority w:val="30"/>
    <w:qFormat/>
    <w:rsid w:val="00CA68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customStyle="1" w:styleId="HeaderandFooter">
    <w:name w:val="Header and Footer"/>
    <w:basedOn w:val="a2"/>
    <w:qFormat/>
  </w:style>
  <w:style w:type="paragraph" w:styleId="af0">
    <w:name w:val="header"/>
    <w:basedOn w:val="a2"/>
    <w:link w:val="af"/>
    <w:uiPriority w:val="99"/>
    <w:unhideWhenUsed/>
    <w:rsid w:val="00CA68A1"/>
    <w:pPr>
      <w:tabs>
        <w:tab w:val="center" w:pos="4677"/>
        <w:tab w:val="right" w:pos="9355"/>
      </w:tabs>
    </w:pPr>
  </w:style>
  <w:style w:type="paragraph" w:styleId="af2">
    <w:name w:val="footer"/>
    <w:basedOn w:val="a2"/>
    <w:link w:val="af1"/>
    <w:uiPriority w:val="99"/>
    <w:unhideWhenUsed/>
    <w:rsid w:val="00CA68A1"/>
    <w:pPr>
      <w:tabs>
        <w:tab w:val="center" w:pos="4677"/>
        <w:tab w:val="right" w:pos="9355"/>
      </w:tabs>
    </w:pPr>
  </w:style>
  <w:style w:type="paragraph" w:customStyle="1" w:styleId="aff3">
    <w:name w:val="Организация"/>
    <w:basedOn w:val="a2"/>
    <w:qFormat/>
    <w:rsid w:val="008D03B1"/>
    <w:pPr>
      <w:spacing w:after="80"/>
      <w:jc w:val="center"/>
    </w:pPr>
    <w:rPr>
      <w:i/>
      <w:sz w:val="22"/>
    </w:rPr>
  </w:style>
  <w:style w:type="paragraph" w:customStyle="1" w:styleId="aff4">
    <w:name w:val="Авторы"/>
    <w:basedOn w:val="a2"/>
    <w:next w:val="aff3"/>
    <w:qFormat/>
    <w:rsid w:val="008D03B1"/>
    <w:pPr>
      <w:spacing w:before="240" w:after="80"/>
      <w:jc w:val="center"/>
    </w:pPr>
    <w:rPr>
      <w:sz w:val="24"/>
    </w:rPr>
  </w:style>
  <w:style w:type="paragraph" w:customStyle="1" w:styleId="keywords">
    <w:name w:val="key words"/>
    <w:uiPriority w:val="99"/>
    <w:qFormat/>
    <w:rsid w:val="00CA68A1"/>
    <w:pPr>
      <w:spacing w:after="120"/>
      <w:ind w:firstLine="274"/>
      <w:jc w:val="both"/>
    </w:pPr>
    <w:rPr>
      <w:rFonts w:ascii="Times New Roman" w:eastAsia="Times New Roman" w:hAnsi="Times New Roman" w:cs="Times New Roman"/>
      <w:b/>
      <w:bCs/>
      <w:i/>
      <w:iCs/>
      <w:kern w:val="0"/>
      <w:sz w:val="18"/>
      <w:szCs w:val="18"/>
      <w:lang w:val="en-US" w:eastAsia="en-US"/>
      <w14:ligatures w14:val="none"/>
    </w:rPr>
  </w:style>
  <w:style w:type="paragraph" w:styleId="aff5">
    <w:name w:val="Normal (Web)"/>
    <w:basedOn w:val="a2"/>
    <w:uiPriority w:val="99"/>
    <w:unhideWhenUsed/>
    <w:qFormat/>
    <w:rsid w:val="00CA68A1"/>
    <w:pPr>
      <w:spacing w:beforeAutospacing="1" w:afterAutospacing="1"/>
    </w:pPr>
  </w:style>
  <w:style w:type="paragraph" w:customStyle="1" w:styleId="df3vjf">
    <w:name w:val="df3vjf"/>
    <w:basedOn w:val="a2"/>
    <w:qFormat/>
    <w:rsid w:val="00CA68A1"/>
    <w:pPr>
      <w:spacing w:beforeAutospacing="1" w:afterAutospacing="1"/>
    </w:pPr>
  </w:style>
  <w:style w:type="paragraph" w:styleId="af8">
    <w:name w:val="annotation text"/>
    <w:basedOn w:val="a2"/>
    <w:link w:val="af7"/>
    <w:uiPriority w:val="99"/>
    <w:semiHidden/>
    <w:unhideWhenUsed/>
    <w:rsid w:val="004275EA"/>
  </w:style>
  <w:style w:type="paragraph" w:styleId="afa">
    <w:name w:val="annotation subject"/>
    <w:basedOn w:val="af8"/>
    <w:next w:val="af8"/>
    <w:link w:val="af9"/>
    <w:uiPriority w:val="99"/>
    <w:semiHidden/>
    <w:unhideWhenUsed/>
    <w:qFormat/>
    <w:rsid w:val="004275EA"/>
    <w:rPr>
      <w:b/>
      <w:bCs/>
    </w:rPr>
  </w:style>
  <w:style w:type="paragraph" w:styleId="afc">
    <w:name w:val="Balloon Text"/>
    <w:basedOn w:val="a2"/>
    <w:link w:val="afb"/>
    <w:uiPriority w:val="99"/>
    <w:semiHidden/>
    <w:unhideWhenUsed/>
    <w:qFormat/>
    <w:rsid w:val="004275EA"/>
    <w:rPr>
      <w:rFonts w:ascii="Segoe UI" w:hAnsi="Segoe UI" w:cs="Segoe UI"/>
      <w:sz w:val="18"/>
      <w:szCs w:val="18"/>
    </w:rPr>
  </w:style>
  <w:style w:type="numbering" w:customStyle="1" w:styleId="aff6">
    <w:name w:val="Без списка"/>
    <w:uiPriority w:val="99"/>
    <w:semiHidden/>
    <w:unhideWhenUsed/>
    <w:qFormat/>
  </w:style>
  <w:style w:type="table" w:styleId="aff7">
    <w:name w:val="Table Grid"/>
    <w:basedOn w:val="a5"/>
    <w:uiPriority w:val="59"/>
    <w:rsid w:val="008D03B1"/>
    <w:pPr>
      <w:suppressAutoHyphens w:val="0"/>
    </w:pPr>
    <w:rPr>
      <w:rFonts w:eastAsia="Times New Roman"/>
      <w:kern w:val="0"/>
      <w:sz w:val="22"/>
      <w:szCs w:val="22"/>
      <w:lang w:eastAsia="zh-CN"/>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5Dark">
    <w:name w:val="List Table 5 Dark"/>
    <w:basedOn w:val="a5"/>
    <w:uiPriority w:val="50"/>
    <w:rsid w:val="00CA68A1"/>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a5"/>
    <w:uiPriority w:val="51"/>
    <w:rsid w:val="00CA68A1"/>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a5"/>
    <w:uiPriority w:val="47"/>
    <w:rsid w:val="00EF2743"/>
    <w:tblPr>
      <w:tblStyleRowBandSize w:val="1"/>
      <w:tblStyleColBandSize w:val="1"/>
      <w:tblInd w:w="0" w:type="dxa"/>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CellMar>
        <w:top w:w="0" w:type="dxa"/>
        <w:left w:w="108" w:type="dxa"/>
        <w:bottom w:w="0" w:type="dxa"/>
        <w:right w:w="108" w:type="dxa"/>
      </w:tblCellMar>
    </w:tblPr>
    <w:tblStylePr w:type="firstRow">
      <w:rPr>
        <w:b/>
        <w:bCs/>
      </w:rPr>
      <w:tblPr/>
      <w:tcPr>
        <w:tcBorders>
          <w:top w:val="nil"/>
          <w:bottom w:val="single" w:sz="12" w:space="0" w:color="156082" w:themeColor="accent1"/>
          <w:insideH w:val="nil"/>
          <w:insideV w:val="nil"/>
        </w:tcBorders>
        <w:shd w:val="clear" w:color="auto" w:fill="FFFFFF" w:themeFill="background1"/>
      </w:tcPr>
    </w:tblStylePr>
    <w:tblStylePr w:type="lastRow">
      <w:rPr>
        <w:b/>
        <w:bCs/>
      </w:rPr>
      <w:tblPr/>
      <w:tcPr>
        <w:tcBorders>
          <w:top w:val="double" w:sz="2" w:space="0" w:color="156082" w:themeColor="accent1"/>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2Accent3">
    <w:name w:val="List Table 2 Accent 3"/>
    <w:basedOn w:val="a5"/>
    <w:uiPriority w:val="47"/>
    <w:rsid w:val="009F4AAD"/>
    <w:tblPr>
      <w:tblStyleRowBandSize w:val="1"/>
      <w:tblStyleColBandSize w:val="1"/>
      <w:tblInd w:w="0" w:type="dxa"/>
      <w:tblBorders>
        <w:top w:val="single" w:sz="4" w:space="0" w:color="47D459" w:themeColor="accent3" w:themeTint="99"/>
        <w:bottom w:val="single" w:sz="4" w:space="0" w:color="47D459" w:themeColor="accent3" w:themeTint="99"/>
        <w:insideH w:val="single" w:sz="4" w:space="0" w:color="47D45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3Accent1">
    <w:name w:val="List Table 3 Accent 1"/>
    <w:basedOn w:val="a5"/>
    <w:uiPriority w:val="48"/>
    <w:rsid w:val="008959A3"/>
    <w:tblPr>
      <w:tblStyleRowBandSize w:val="1"/>
      <w:tblStyleColBandSize w:val="1"/>
      <w:tblInd w:w="0" w:type="dxa"/>
      <w:tblBorders>
        <w:top w:val="single" w:sz="4" w:space="0" w:color="156082" w:themeColor="accent1"/>
        <w:left w:val="single" w:sz="4" w:space="0" w:color="156082" w:themeColor="accent1"/>
        <w:bottom w:val="single" w:sz="4" w:space="0" w:color="156082" w:themeColor="accent1"/>
        <w:right w:val="single" w:sz="4" w:space="0" w:color="156082" w:themeColor="accent1"/>
      </w:tblBorders>
      <w:tblCellMar>
        <w:top w:w="0" w:type="dxa"/>
        <w:left w:w="108" w:type="dxa"/>
        <w:bottom w:w="0" w:type="dxa"/>
        <w:right w:w="108" w:type="dxa"/>
      </w:tblCellMar>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GridTable6Colorful">
    <w:name w:val="Grid Table 6 Colorful"/>
    <w:basedOn w:val="a5"/>
    <w:uiPriority w:val="51"/>
    <w:rsid w:val="00065B1A"/>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ff8">
    <w:name w:val="Аннотация"/>
    <w:basedOn w:val="aff3"/>
    <w:qFormat/>
    <w:rsid w:val="008D03B1"/>
    <w:pPr>
      <w:ind w:firstLine="289"/>
      <w:jc w:val="both"/>
    </w:pPr>
    <w:rPr>
      <w:b/>
      <w:i w:val="0"/>
      <w:sz w:val="18"/>
    </w:rPr>
  </w:style>
  <w:style w:type="paragraph" w:customStyle="1" w:styleId="aff9">
    <w:name w:val="Ключевые слова"/>
    <w:basedOn w:val="a2"/>
    <w:next w:val="1"/>
    <w:qFormat/>
    <w:rsid w:val="008D03B1"/>
    <w:pPr>
      <w:spacing w:after="200"/>
      <w:ind w:firstLine="289"/>
      <w:jc w:val="both"/>
    </w:pPr>
    <w:rPr>
      <w:b/>
      <w:i/>
      <w:sz w:val="18"/>
    </w:rPr>
  </w:style>
  <w:style w:type="paragraph" w:customStyle="1" w:styleId="affa">
    <w:name w:val="Мэйл"/>
    <w:basedOn w:val="a2"/>
    <w:qFormat/>
    <w:rsid w:val="008D03B1"/>
    <w:pPr>
      <w:spacing w:after="120"/>
      <w:jc w:val="center"/>
    </w:pPr>
    <w:rPr>
      <w:sz w:val="22"/>
      <w:lang w:val="en-US"/>
    </w:rPr>
  </w:style>
  <w:style w:type="paragraph" w:customStyle="1" w:styleId="a">
    <w:name w:val="Название рисунка"/>
    <w:basedOn w:val="a2"/>
    <w:qFormat/>
    <w:rsid w:val="008D03B1"/>
    <w:pPr>
      <w:numPr>
        <w:numId w:val="11"/>
      </w:numPr>
      <w:tabs>
        <w:tab w:val="left" w:pos="289"/>
      </w:tabs>
      <w:spacing w:before="120" w:after="200"/>
    </w:pPr>
    <w:rPr>
      <w:sz w:val="16"/>
    </w:rPr>
  </w:style>
  <w:style w:type="character" w:customStyle="1" w:styleId="afe">
    <w:name w:val="Основной текст Знак"/>
    <w:link w:val="a3"/>
    <w:rsid w:val="008D03B1"/>
    <w:rPr>
      <w:rFonts w:ascii="Times New Roman" w:eastAsia="MS Mincho" w:hAnsi="Times New Roman" w:cs="Times New Roman"/>
      <w:spacing w:val="-1"/>
      <w:kern w:val="0"/>
      <w:sz w:val="20"/>
      <w:szCs w:val="20"/>
      <w:lang w:eastAsia="en-US"/>
      <w14:ligatures w14:val="none"/>
    </w:rPr>
  </w:style>
  <w:style w:type="paragraph" w:styleId="a0">
    <w:name w:val="Bibliography"/>
    <w:basedOn w:val="a3"/>
    <w:next w:val="a2"/>
    <w:qFormat/>
    <w:rsid w:val="008D03B1"/>
    <w:pPr>
      <w:numPr>
        <w:numId w:val="12"/>
      </w:numPr>
      <w:tabs>
        <w:tab w:val="clear" w:pos="288"/>
        <w:tab w:val="left" w:pos="357"/>
      </w:tabs>
      <w:spacing w:after="50" w:line="180" w:lineRule="exact"/>
      <w:ind w:left="357" w:hanging="357"/>
    </w:pPr>
    <w:rPr>
      <w:spacing w:val="0"/>
      <w:sz w:val="16"/>
    </w:rPr>
  </w:style>
  <w:style w:type="paragraph" w:customStyle="1" w:styleId="-">
    <w:name w:val="Список-перечень"/>
    <w:basedOn w:val="a3"/>
    <w:next w:val="a3"/>
    <w:qFormat/>
    <w:rsid w:val="008D03B1"/>
    <w:pPr>
      <w:numPr>
        <w:numId w:val="13"/>
      </w:numPr>
      <w:spacing w:after="60"/>
    </w:pPr>
  </w:style>
  <w:style w:type="paragraph" w:customStyle="1" w:styleId="affb">
    <w:name w:val="Строка таблицы"/>
    <w:basedOn w:val="a2"/>
    <w:qFormat/>
    <w:rsid w:val="008D03B1"/>
    <w:pPr>
      <w:tabs>
        <w:tab w:val="left" w:pos="1021"/>
      </w:tabs>
    </w:pPr>
    <w:rPr>
      <w:sz w:val="16"/>
    </w:rPr>
  </w:style>
  <w:style w:type="paragraph" w:customStyle="1" w:styleId="a1">
    <w:name w:val="Таблица"/>
    <w:basedOn w:val="a2"/>
    <w:next w:val="a2"/>
    <w:qFormat/>
    <w:rsid w:val="008D03B1"/>
    <w:pPr>
      <w:numPr>
        <w:numId w:val="14"/>
      </w:numPr>
      <w:tabs>
        <w:tab w:val="left" w:pos="567"/>
      </w:tabs>
      <w:spacing w:before="240" w:after="80"/>
      <w:jc w:val="center"/>
    </w:pPr>
    <w:rPr>
      <w:smallCaps/>
      <w:sz w:val="16"/>
    </w:rPr>
  </w:style>
  <w:style w:type="paragraph" w:customStyle="1" w:styleId="affc">
    <w:name w:val="Финансирование"/>
    <w:basedOn w:val="a2"/>
    <w:qFormat/>
    <w:rsid w:val="008D03B1"/>
    <w:pPr>
      <w:framePr w:w="4876" w:wrap="notBeside" w:hAnchor="margin" w:yAlign="bottom"/>
      <w:pBdr>
        <w:top w:val="single" w:sz="8" w:space="3" w:color="auto"/>
      </w:pBdr>
      <w:ind w:firstLine="289"/>
    </w:pPr>
    <w:rPr>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ru-RU" w:eastAsia="ru-RU" w:bidi="ar-SA"/>
        <w14:ligatures w14:val="standardContextual"/>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qFormat="1"/>
    <w:lsdException w:name="heading 4" w:uiPriority="1"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2">
    <w:name w:val="Normal"/>
    <w:qFormat/>
    <w:rsid w:val="008D03B1"/>
    <w:rPr>
      <w:rFonts w:ascii="Times New Roman" w:eastAsia="Times New Roman" w:hAnsi="Times New Roman" w:cs="Times New Roman"/>
      <w:kern w:val="0"/>
      <w:sz w:val="20"/>
      <w:szCs w:val="20"/>
      <w:lang w:eastAsia="en-US"/>
      <w14:ligatures w14:val="none"/>
    </w:rPr>
  </w:style>
  <w:style w:type="paragraph" w:styleId="1">
    <w:name w:val="heading 1"/>
    <w:basedOn w:val="a2"/>
    <w:next w:val="a3"/>
    <w:link w:val="10"/>
    <w:qFormat/>
    <w:rsid w:val="008D03B1"/>
    <w:pPr>
      <w:keepNext/>
      <w:keepLines/>
      <w:numPr>
        <w:numId w:val="10"/>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8D03B1"/>
    <w:pPr>
      <w:keepNext/>
      <w:keepLines/>
      <w:numPr>
        <w:ilvl w:val="1"/>
        <w:numId w:val="10"/>
      </w:numPr>
      <w:suppressAutoHyphens w:val="0"/>
      <w:spacing w:before="120" w:after="60"/>
      <w:outlineLvl w:val="1"/>
    </w:pPr>
    <w:rPr>
      <w:rFonts w:eastAsia="SimSun"/>
      <w:i/>
      <w:iCs/>
      <w:noProof/>
    </w:rPr>
  </w:style>
  <w:style w:type="paragraph" w:styleId="3">
    <w:name w:val="heading 3"/>
    <w:basedOn w:val="a2"/>
    <w:next w:val="a2"/>
    <w:link w:val="30"/>
    <w:uiPriority w:val="1"/>
    <w:rsid w:val="008D03B1"/>
    <w:pPr>
      <w:numPr>
        <w:ilvl w:val="2"/>
        <w:numId w:val="10"/>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rsid w:val="008D03B1"/>
    <w:pPr>
      <w:numPr>
        <w:ilvl w:val="3"/>
        <w:numId w:val="10"/>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8D03B1"/>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8D03B1"/>
    <w:pPr>
      <w:keepNext/>
      <w:keepLines/>
      <w:spacing w:before="200"/>
      <w:outlineLvl w:val="5"/>
    </w:pPr>
    <w:rPr>
      <w:rFonts w:eastAsiaTheme="majorEastAsia" w:cstheme="majorBidi"/>
      <w:i/>
      <w:iCs/>
      <w:color w:val="000000" w:themeColor="text1"/>
    </w:rPr>
  </w:style>
  <w:style w:type="paragraph" w:styleId="7">
    <w:name w:val="heading 7"/>
    <w:basedOn w:val="a2"/>
    <w:next w:val="a2"/>
    <w:link w:val="70"/>
    <w:uiPriority w:val="9"/>
    <w:semiHidden/>
    <w:unhideWhenUsed/>
    <w:qFormat/>
    <w:rsid w:val="00CA68A1"/>
    <w:pPr>
      <w:keepNext/>
      <w:keepLines/>
      <w:spacing w:before="40"/>
      <w:outlineLvl w:val="6"/>
    </w:pPr>
    <w:rPr>
      <w:rFonts w:eastAsiaTheme="majorEastAsia" w:cstheme="majorBidi"/>
      <w:color w:val="595959" w:themeColor="text1" w:themeTint="A6"/>
    </w:rPr>
  </w:style>
  <w:style w:type="paragraph" w:styleId="8">
    <w:name w:val="heading 8"/>
    <w:basedOn w:val="a2"/>
    <w:next w:val="a2"/>
    <w:link w:val="80"/>
    <w:uiPriority w:val="9"/>
    <w:semiHidden/>
    <w:unhideWhenUsed/>
    <w:qFormat/>
    <w:rsid w:val="00CA68A1"/>
    <w:pPr>
      <w:keepNext/>
      <w:keepLines/>
      <w:outlineLvl w:val="7"/>
    </w:pPr>
    <w:rPr>
      <w:rFonts w:eastAsiaTheme="majorEastAsia" w:cstheme="majorBidi"/>
      <w:i/>
      <w:iCs/>
      <w:color w:val="272727" w:themeColor="text1" w:themeTint="D8"/>
    </w:rPr>
  </w:style>
  <w:style w:type="paragraph" w:styleId="9">
    <w:name w:val="heading 9"/>
    <w:basedOn w:val="a2"/>
    <w:next w:val="a2"/>
    <w:link w:val="90"/>
    <w:uiPriority w:val="9"/>
    <w:semiHidden/>
    <w:unhideWhenUsed/>
    <w:qFormat/>
    <w:rsid w:val="00CA68A1"/>
    <w:pPr>
      <w:keepNext/>
      <w:keepLines/>
      <w:outlineLvl w:val="8"/>
    </w:pPr>
    <w:rPr>
      <w:rFonts w:eastAsiaTheme="majorEastAsia" w:cstheme="majorBidi"/>
      <w:color w:val="272727" w:themeColor="text1" w:themeTint="D8"/>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link w:val="1"/>
    <w:rsid w:val="008D03B1"/>
    <w:rPr>
      <w:rFonts w:ascii="Times New Roman" w:eastAsia="SimSun" w:hAnsi="Times New Roman" w:cs="Times New Roman"/>
      <w:smallCaps/>
      <w:noProof/>
      <w:kern w:val="0"/>
      <w:sz w:val="20"/>
      <w:szCs w:val="20"/>
      <w:lang w:eastAsia="en-US"/>
      <w14:ligatures w14:val="none"/>
    </w:rPr>
  </w:style>
  <w:style w:type="character" w:customStyle="1" w:styleId="20">
    <w:name w:val="Заголовок 2 Знак"/>
    <w:basedOn w:val="a4"/>
    <w:link w:val="2"/>
    <w:rsid w:val="008D03B1"/>
    <w:rPr>
      <w:rFonts w:ascii="Times New Roman" w:eastAsia="SimSun" w:hAnsi="Times New Roman" w:cs="Times New Roman"/>
      <w:i/>
      <w:iCs/>
      <w:noProof/>
      <w:kern w:val="0"/>
      <w:sz w:val="20"/>
      <w:szCs w:val="20"/>
      <w:lang w:eastAsia="en-US"/>
      <w14:ligatures w14:val="none"/>
    </w:rPr>
  </w:style>
  <w:style w:type="character" w:customStyle="1" w:styleId="30">
    <w:name w:val="Заголовок 3 Знак"/>
    <w:basedOn w:val="a4"/>
    <w:link w:val="3"/>
    <w:uiPriority w:val="1"/>
    <w:rsid w:val="008D03B1"/>
    <w:rPr>
      <w:rFonts w:ascii="Times New Roman" w:eastAsia="SimSun" w:hAnsi="Times New Roman" w:cs="Times New Roman"/>
      <w:i/>
      <w:iCs/>
      <w:noProof/>
      <w:kern w:val="0"/>
      <w:sz w:val="20"/>
      <w:szCs w:val="20"/>
      <w:lang w:eastAsia="en-US"/>
      <w14:ligatures w14:val="none"/>
    </w:rPr>
  </w:style>
  <w:style w:type="character" w:customStyle="1" w:styleId="40">
    <w:name w:val="Заголовок 4 Знак"/>
    <w:basedOn w:val="a4"/>
    <w:link w:val="4"/>
    <w:uiPriority w:val="1"/>
    <w:rsid w:val="008D03B1"/>
    <w:rPr>
      <w:rFonts w:ascii="Times New Roman" w:eastAsia="SimSun" w:hAnsi="Times New Roman" w:cs="Times New Roman"/>
      <w:i/>
      <w:iCs/>
      <w:noProof/>
      <w:kern w:val="0"/>
      <w:sz w:val="20"/>
      <w:szCs w:val="20"/>
      <w:lang w:eastAsia="en-US"/>
      <w14:ligatures w14:val="none"/>
    </w:rPr>
  </w:style>
  <w:style w:type="character" w:customStyle="1" w:styleId="50">
    <w:name w:val="Заголовок 5 Знак"/>
    <w:basedOn w:val="a4"/>
    <w:link w:val="5"/>
    <w:rsid w:val="008D03B1"/>
    <w:rPr>
      <w:rFonts w:ascii="Times New Roman" w:eastAsia="SimSun" w:hAnsi="Times New Roman" w:cs="Times New Roman"/>
      <w:smallCaps/>
      <w:noProof/>
      <w:kern w:val="0"/>
      <w:sz w:val="20"/>
      <w:szCs w:val="20"/>
      <w:lang w:eastAsia="en-US"/>
      <w14:ligatures w14:val="none"/>
    </w:rPr>
  </w:style>
  <w:style w:type="character" w:customStyle="1" w:styleId="60">
    <w:name w:val="Заголовок 6 Знак"/>
    <w:basedOn w:val="a4"/>
    <w:link w:val="6"/>
    <w:uiPriority w:val="9"/>
    <w:semiHidden/>
    <w:rsid w:val="008D03B1"/>
    <w:rPr>
      <w:rFonts w:ascii="Times New Roman" w:eastAsiaTheme="majorEastAsia" w:hAnsi="Times New Roman" w:cstheme="majorBidi"/>
      <w:i/>
      <w:iCs/>
      <w:color w:val="000000" w:themeColor="text1"/>
      <w:kern w:val="0"/>
      <w:sz w:val="20"/>
      <w:szCs w:val="20"/>
      <w:lang w:eastAsia="en-US"/>
      <w14:ligatures w14:val="none"/>
    </w:rPr>
  </w:style>
  <w:style w:type="character" w:customStyle="1" w:styleId="70">
    <w:name w:val="Заголовок 7 Знак"/>
    <w:basedOn w:val="a4"/>
    <w:link w:val="7"/>
    <w:uiPriority w:val="9"/>
    <w:semiHidden/>
    <w:qFormat/>
    <w:rsid w:val="00CA68A1"/>
    <w:rPr>
      <w:rFonts w:eastAsiaTheme="majorEastAsia" w:cstheme="majorBidi"/>
      <w:color w:val="595959" w:themeColor="text1" w:themeTint="A6"/>
    </w:rPr>
  </w:style>
  <w:style w:type="character" w:customStyle="1" w:styleId="80">
    <w:name w:val="Заголовок 8 Знак"/>
    <w:basedOn w:val="a4"/>
    <w:link w:val="8"/>
    <w:uiPriority w:val="9"/>
    <w:semiHidden/>
    <w:qFormat/>
    <w:rsid w:val="00CA68A1"/>
    <w:rPr>
      <w:rFonts w:eastAsiaTheme="majorEastAsia" w:cstheme="majorBidi"/>
      <w:i/>
      <w:iCs/>
      <w:color w:val="272727" w:themeColor="text1" w:themeTint="D8"/>
    </w:rPr>
  </w:style>
  <w:style w:type="character" w:customStyle="1" w:styleId="90">
    <w:name w:val="Заголовок 9 Знак"/>
    <w:basedOn w:val="a4"/>
    <w:link w:val="9"/>
    <w:uiPriority w:val="9"/>
    <w:semiHidden/>
    <w:qFormat/>
    <w:rsid w:val="00CA68A1"/>
    <w:rPr>
      <w:rFonts w:eastAsiaTheme="majorEastAsia" w:cstheme="majorBidi"/>
      <w:color w:val="272727" w:themeColor="text1" w:themeTint="D8"/>
    </w:rPr>
  </w:style>
  <w:style w:type="character" w:customStyle="1" w:styleId="a7">
    <w:name w:val="Название Знак"/>
    <w:basedOn w:val="a4"/>
    <w:link w:val="a8"/>
    <w:rsid w:val="008D03B1"/>
    <w:rPr>
      <w:rFonts w:ascii="Times New Roman" w:eastAsiaTheme="majorEastAsia" w:hAnsi="Times New Roman" w:cstheme="majorBidi"/>
      <w:color w:val="000000" w:themeColor="text1"/>
      <w:kern w:val="28"/>
      <w:sz w:val="48"/>
      <w:szCs w:val="52"/>
      <w:lang w:eastAsia="en-US"/>
      <w14:ligatures w14:val="none"/>
    </w:rPr>
  </w:style>
  <w:style w:type="character" w:customStyle="1" w:styleId="a9">
    <w:name w:val="Подзаголовок Знак"/>
    <w:basedOn w:val="a4"/>
    <w:link w:val="aa"/>
    <w:uiPriority w:val="11"/>
    <w:qFormat/>
    <w:rsid w:val="00CA68A1"/>
    <w:rPr>
      <w:rFonts w:eastAsiaTheme="majorEastAsia" w:cstheme="majorBidi"/>
      <w:color w:val="595959" w:themeColor="text1" w:themeTint="A6"/>
      <w:spacing w:val="15"/>
      <w:sz w:val="28"/>
      <w:szCs w:val="28"/>
    </w:rPr>
  </w:style>
  <w:style w:type="character" w:customStyle="1" w:styleId="21">
    <w:name w:val="Цитата 2 Знак"/>
    <w:basedOn w:val="a4"/>
    <w:link w:val="22"/>
    <w:uiPriority w:val="29"/>
    <w:qFormat/>
    <w:rsid w:val="00CA68A1"/>
    <w:rPr>
      <w:i/>
      <w:iCs/>
      <w:color w:val="404040" w:themeColor="text1" w:themeTint="BF"/>
    </w:rPr>
  </w:style>
  <w:style w:type="character" w:styleId="ab">
    <w:name w:val="Intense Emphasis"/>
    <w:basedOn w:val="a4"/>
    <w:uiPriority w:val="21"/>
    <w:qFormat/>
    <w:rsid w:val="00CA68A1"/>
    <w:rPr>
      <w:i/>
      <w:iCs/>
      <w:color w:val="0F4761" w:themeColor="accent1" w:themeShade="BF"/>
    </w:rPr>
  </w:style>
  <w:style w:type="character" w:customStyle="1" w:styleId="ac">
    <w:name w:val="Выделенная цитата Знак"/>
    <w:basedOn w:val="a4"/>
    <w:link w:val="ad"/>
    <w:uiPriority w:val="30"/>
    <w:qFormat/>
    <w:rsid w:val="00CA68A1"/>
    <w:rPr>
      <w:i/>
      <w:iCs/>
      <w:color w:val="0F4761" w:themeColor="accent1" w:themeShade="BF"/>
    </w:rPr>
  </w:style>
  <w:style w:type="character" w:styleId="ae">
    <w:name w:val="Intense Reference"/>
    <w:basedOn w:val="a4"/>
    <w:uiPriority w:val="32"/>
    <w:qFormat/>
    <w:rsid w:val="00CA68A1"/>
    <w:rPr>
      <w:b/>
      <w:bCs/>
      <w:smallCaps/>
      <w:color w:val="0F4761" w:themeColor="accent1" w:themeShade="BF"/>
      <w:spacing w:val="5"/>
    </w:rPr>
  </w:style>
  <w:style w:type="character" w:customStyle="1" w:styleId="af">
    <w:name w:val="Верхний колонтитул Знак"/>
    <w:basedOn w:val="a4"/>
    <w:link w:val="af0"/>
    <w:uiPriority w:val="99"/>
    <w:qFormat/>
    <w:rsid w:val="00CA68A1"/>
  </w:style>
  <w:style w:type="character" w:customStyle="1" w:styleId="af1">
    <w:name w:val="Нижний колонтитул Знак"/>
    <w:basedOn w:val="a4"/>
    <w:link w:val="af2"/>
    <w:uiPriority w:val="99"/>
    <w:qFormat/>
    <w:rsid w:val="00CA68A1"/>
  </w:style>
  <w:style w:type="character" w:customStyle="1" w:styleId="t286pc">
    <w:name w:val="t286pc"/>
    <w:basedOn w:val="a4"/>
    <w:qFormat/>
    <w:rsid w:val="00CA68A1"/>
  </w:style>
  <w:style w:type="character" w:styleId="af3">
    <w:name w:val="Strong"/>
    <w:basedOn w:val="a4"/>
    <w:uiPriority w:val="22"/>
    <w:qFormat/>
    <w:rsid w:val="00CA68A1"/>
    <w:rPr>
      <w:b/>
      <w:bCs/>
    </w:rPr>
  </w:style>
  <w:style w:type="character" w:customStyle="1" w:styleId="apple-converted-space">
    <w:name w:val="apple-converted-space"/>
    <w:basedOn w:val="a4"/>
    <w:qFormat/>
    <w:rsid w:val="00CA68A1"/>
  </w:style>
  <w:style w:type="character" w:customStyle="1" w:styleId="dtet0b">
    <w:name w:val="dtet0b"/>
    <w:basedOn w:val="a4"/>
    <w:qFormat/>
    <w:rsid w:val="00CA68A1"/>
  </w:style>
  <w:style w:type="character" w:customStyle="1" w:styleId="vkekvd">
    <w:name w:val="vkekvd"/>
    <w:basedOn w:val="a4"/>
    <w:qFormat/>
    <w:rsid w:val="00CA68A1"/>
  </w:style>
  <w:style w:type="character" w:customStyle="1" w:styleId="ifmvxd">
    <w:name w:val="ifmvxd"/>
    <w:basedOn w:val="a4"/>
    <w:qFormat/>
    <w:rsid w:val="00CA68A1"/>
  </w:style>
  <w:style w:type="character" w:customStyle="1" w:styleId="ijm6od">
    <w:name w:val="ijm6od"/>
    <w:basedOn w:val="a4"/>
    <w:qFormat/>
    <w:rsid w:val="00CA68A1"/>
  </w:style>
  <w:style w:type="character" w:styleId="af4">
    <w:name w:val="Emphasis"/>
    <w:basedOn w:val="a4"/>
    <w:uiPriority w:val="20"/>
    <w:qFormat/>
    <w:rsid w:val="00CA68A1"/>
    <w:rPr>
      <w:i/>
      <w:iCs/>
    </w:rPr>
  </w:style>
  <w:style w:type="character" w:styleId="af5">
    <w:name w:val="Placeholder Text"/>
    <w:basedOn w:val="a4"/>
    <w:uiPriority w:val="99"/>
    <w:semiHidden/>
    <w:qFormat/>
    <w:rsid w:val="00CA68A1"/>
    <w:rPr>
      <w:color w:val="666666"/>
    </w:rPr>
  </w:style>
  <w:style w:type="character" w:customStyle="1" w:styleId="text">
    <w:name w:val="text"/>
    <w:basedOn w:val="a4"/>
    <w:qFormat/>
    <w:rsid w:val="0043603D"/>
  </w:style>
  <w:style w:type="character" w:customStyle="1" w:styleId="page">
    <w:name w:val="page"/>
    <w:basedOn w:val="a4"/>
    <w:qFormat/>
    <w:rsid w:val="0043603D"/>
  </w:style>
  <w:style w:type="character" w:customStyle="1" w:styleId="InternetLink">
    <w:name w:val="Internet Link"/>
    <w:basedOn w:val="a4"/>
    <w:uiPriority w:val="99"/>
    <w:semiHidden/>
    <w:unhideWhenUsed/>
    <w:qFormat/>
    <w:rsid w:val="0043603D"/>
    <w:rPr>
      <w:color w:val="0000FF"/>
      <w:u w:val="single"/>
    </w:rPr>
  </w:style>
  <w:style w:type="character" w:styleId="af6">
    <w:name w:val="annotation reference"/>
    <w:basedOn w:val="a4"/>
    <w:uiPriority w:val="99"/>
    <w:semiHidden/>
    <w:unhideWhenUsed/>
    <w:qFormat/>
    <w:rsid w:val="004275EA"/>
    <w:rPr>
      <w:sz w:val="16"/>
      <w:szCs w:val="16"/>
    </w:rPr>
  </w:style>
  <w:style w:type="character" w:customStyle="1" w:styleId="af7">
    <w:name w:val="Текст примечания Знак"/>
    <w:basedOn w:val="a4"/>
    <w:link w:val="af8"/>
    <w:uiPriority w:val="99"/>
    <w:semiHidden/>
    <w:qFormat/>
    <w:rsid w:val="004275EA"/>
    <w:rPr>
      <w:sz w:val="20"/>
      <w:szCs w:val="20"/>
    </w:rPr>
  </w:style>
  <w:style w:type="character" w:customStyle="1" w:styleId="af9">
    <w:name w:val="Тема примечания Знак"/>
    <w:basedOn w:val="af7"/>
    <w:link w:val="afa"/>
    <w:uiPriority w:val="99"/>
    <w:semiHidden/>
    <w:qFormat/>
    <w:rsid w:val="004275EA"/>
    <w:rPr>
      <w:b/>
      <w:bCs/>
      <w:sz w:val="20"/>
      <w:szCs w:val="20"/>
    </w:rPr>
  </w:style>
  <w:style w:type="character" w:customStyle="1" w:styleId="afb">
    <w:name w:val="Текст выноски Знак"/>
    <w:basedOn w:val="a4"/>
    <w:link w:val="afc"/>
    <w:uiPriority w:val="99"/>
    <w:semiHidden/>
    <w:qFormat/>
    <w:rsid w:val="004275EA"/>
    <w:rPr>
      <w:rFonts w:ascii="Segoe UI" w:hAnsi="Segoe UI" w:cs="Segoe UI"/>
      <w:sz w:val="18"/>
      <w:szCs w:val="18"/>
    </w:rPr>
  </w:style>
  <w:style w:type="paragraph" w:customStyle="1" w:styleId="afd">
    <w:name w:val="Заголовок"/>
    <w:basedOn w:val="a2"/>
    <w:next w:val="a3"/>
    <w:qFormat/>
    <w:pPr>
      <w:keepNext/>
      <w:spacing w:before="240" w:after="120"/>
    </w:pPr>
    <w:rPr>
      <w:rFonts w:ascii="Liberation Sans" w:eastAsia="Microsoft YaHei" w:hAnsi="Liberation Sans" w:cs="Lucida Sans"/>
      <w:sz w:val="28"/>
      <w:szCs w:val="28"/>
    </w:rPr>
  </w:style>
  <w:style w:type="paragraph" w:styleId="a3">
    <w:name w:val="Body Text"/>
    <w:basedOn w:val="a2"/>
    <w:link w:val="afe"/>
    <w:rsid w:val="008D03B1"/>
    <w:pPr>
      <w:tabs>
        <w:tab w:val="left" w:pos="288"/>
      </w:tabs>
      <w:spacing w:after="120" w:line="228" w:lineRule="auto"/>
      <w:ind w:firstLine="289"/>
      <w:jc w:val="both"/>
    </w:pPr>
    <w:rPr>
      <w:rFonts w:eastAsia="MS Mincho"/>
      <w:spacing w:val="-1"/>
    </w:rPr>
  </w:style>
  <w:style w:type="paragraph" w:styleId="aff">
    <w:name w:val="List"/>
    <w:basedOn w:val="a3"/>
    <w:rPr>
      <w:rFonts w:cs="Lucida Sans"/>
    </w:rPr>
  </w:style>
  <w:style w:type="paragraph" w:styleId="aff0">
    <w:name w:val="caption"/>
    <w:basedOn w:val="a2"/>
    <w:qFormat/>
    <w:pPr>
      <w:suppressLineNumbers/>
      <w:spacing w:before="120" w:after="120"/>
    </w:pPr>
    <w:rPr>
      <w:rFonts w:cs="Lucida Sans"/>
      <w:i/>
      <w:iCs/>
    </w:rPr>
  </w:style>
  <w:style w:type="paragraph" w:styleId="aff1">
    <w:name w:val="index heading"/>
    <w:basedOn w:val="a2"/>
    <w:qFormat/>
    <w:pPr>
      <w:suppressLineNumbers/>
    </w:pPr>
    <w:rPr>
      <w:rFonts w:cs="Lucida Sans"/>
    </w:rPr>
  </w:style>
  <w:style w:type="paragraph" w:styleId="a8">
    <w:name w:val="Title"/>
    <w:basedOn w:val="a2"/>
    <w:next w:val="a2"/>
    <w:link w:val="a7"/>
    <w:qFormat/>
    <w:rsid w:val="008D03B1"/>
    <w:pPr>
      <w:spacing w:before="120" w:after="120"/>
      <w:contextualSpacing/>
      <w:jc w:val="center"/>
    </w:pPr>
    <w:rPr>
      <w:rFonts w:eastAsiaTheme="majorEastAsia" w:cstheme="majorBidi"/>
      <w:color w:val="000000" w:themeColor="text1"/>
      <w:kern w:val="28"/>
      <w:sz w:val="48"/>
      <w:szCs w:val="52"/>
    </w:rPr>
  </w:style>
  <w:style w:type="paragraph" w:styleId="aa">
    <w:name w:val="Subtitle"/>
    <w:basedOn w:val="a2"/>
    <w:next w:val="a2"/>
    <w:link w:val="a9"/>
    <w:uiPriority w:val="11"/>
    <w:qFormat/>
    <w:rsid w:val="00CA68A1"/>
    <w:rPr>
      <w:rFonts w:eastAsiaTheme="majorEastAsia" w:cstheme="majorBidi"/>
      <w:color w:val="595959" w:themeColor="text1" w:themeTint="A6"/>
      <w:spacing w:val="15"/>
      <w:sz w:val="28"/>
      <w:szCs w:val="28"/>
    </w:rPr>
  </w:style>
  <w:style w:type="paragraph" w:styleId="22">
    <w:name w:val="Quote"/>
    <w:basedOn w:val="a2"/>
    <w:next w:val="a2"/>
    <w:link w:val="21"/>
    <w:uiPriority w:val="29"/>
    <w:qFormat/>
    <w:rsid w:val="00CA68A1"/>
    <w:pPr>
      <w:spacing w:before="160"/>
      <w:jc w:val="center"/>
    </w:pPr>
    <w:rPr>
      <w:i/>
      <w:iCs/>
      <w:color w:val="404040" w:themeColor="text1" w:themeTint="BF"/>
    </w:rPr>
  </w:style>
  <w:style w:type="paragraph" w:styleId="aff2">
    <w:name w:val="List Paragraph"/>
    <w:basedOn w:val="a2"/>
    <w:uiPriority w:val="34"/>
    <w:qFormat/>
    <w:rsid w:val="00CA68A1"/>
    <w:pPr>
      <w:ind w:left="720"/>
      <w:contextualSpacing/>
    </w:pPr>
  </w:style>
  <w:style w:type="paragraph" w:styleId="ad">
    <w:name w:val="Intense Quote"/>
    <w:basedOn w:val="a2"/>
    <w:next w:val="a2"/>
    <w:link w:val="ac"/>
    <w:uiPriority w:val="30"/>
    <w:qFormat/>
    <w:rsid w:val="00CA68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customStyle="1" w:styleId="HeaderandFooter">
    <w:name w:val="Header and Footer"/>
    <w:basedOn w:val="a2"/>
    <w:qFormat/>
  </w:style>
  <w:style w:type="paragraph" w:styleId="af0">
    <w:name w:val="header"/>
    <w:basedOn w:val="a2"/>
    <w:link w:val="af"/>
    <w:uiPriority w:val="99"/>
    <w:unhideWhenUsed/>
    <w:rsid w:val="00CA68A1"/>
    <w:pPr>
      <w:tabs>
        <w:tab w:val="center" w:pos="4677"/>
        <w:tab w:val="right" w:pos="9355"/>
      </w:tabs>
    </w:pPr>
  </w:style>
  <w:style w:type="paragraph" w:styleId="af2">
    <w:name w:val="footer"/>
    <w:basedOn w:val="a2"/>
    <w:link w:val="af1"/>
    <w:uiPriority w:val="99"/>
    <w:unhideWhenUsed/>
    <w:rsid w:val="00CA68A1"/>
    <w:pPr>
      <w:tabs>
        <w:tab w:val="center" w:pos="4677"/>
        <w:tab w:val="right" w:pos="9355"/>
      </w:tabs>
    </w:pPr>
  </w:style>
  <w:style w:type="paragraph" w:customStyle="1" w:styleId="aff3">
    <w:name w:val="Организация"/>
    <w:basedOn w:val="a2"/>
    <w:qFormat/>
    <w:rsid w:val="008D03B1"/>
    <w:pPr>
      <w:spacing w:after="80"/>
      <w:jc w:val="center"/>
    </w:pPr>
    <w:rPr>
      <w:i/>
      <w:sz w:val="22"/>
    </w:rPr>
  </w:style>
  <w:style w:type="paragraph" w:customStyle="1" w:styleId="aff4">
    <w:name w:val="Авторы"/>
    <w:basedOn w:val="a2"/>
    <w:next w:val="aff3"/>
    <w:qFormat/>
    <w:rsid w:val="008D03B1"/>
    <w:pPr>
      <w:spacing w:before="240" w:after="80"/>
      <w:jc w:val="center"/>
    </w:pPr>
    <w:rPr>
      <w:sz w:val="24"/>
    </w:rPr>
  </w:style>
  <w:style w:type="paragraph" w:customStyle="1" w:styleId="keywords">
    <w:name w:val="key words"/>
    <w:uiPriority w:val="99"/>
    <w:qFormat/>
    <w:rsid w:val="00CA68A1"/>
    <w:pPr>
      <w:spacing w:after="120"/>
      <w:ind w:firstLine="274"/>
      <w:jc w:val="both"/>
    </w:pPr>
    <w:rPr>
      <w:rFonts w:ascii="Times New Roman" w:eastAsia="Times New Roman" w:hAnsi="Times New Roman" w:cs="Times New Roman"/>
      <w:b/>
      <w:bCs/>
      <w:i/>
      <w:iCs/>
      <w:kern w:val="0"/>
      <w:sz w:val="18"/>
      <w:szCs w:val="18"/>
      <w:lang w:val="en-US" w:eastAsia="en-US"/>
      <w14:ligatures w14:val="none"/>
    </w:rPr>
  </w:style>
  <w:style w:type="paragraph" w:styleId="aff5">
    <w:name w:val="Normal (Web)"/>
    <w:basedOn w:val="a2"/>
    <w:uiPriority w:val="99"/>
    <w:unhideWhenUsed/>
    <w:qFormat/>
    <w:rsid w:val="00CA68A1"/>
    <w:pPr>
      <w:spacing w:beforeAutospacing="1" w:afterAutospacing="1"/>
    </w:pPr>
  </w:style>
  <w:style w:type="paragraph" w:customStyle="1" w:styleId="df3vjf">
    <w:name w:val="df3vjf"/>
    <w:basedOn w:val="a2"/>
    <w:qFormat/>
    <w:rsid w:val="00CA68A1"/>
    <w:pPr>
      <w:spacing w:beforeAutospacing="1" w:afterAutospacing="1"/>
    </w:pPr>
  </w:style>
  <w:style w:type="paragraph" w:styleId="af8">
    <w:name w:val="annotation text"/>
    <w:basedOn w:val="a2"/>
    <w:link w:val="af7"/>
    <w:uiPriority w:val="99"/>
    <w:semiHidden/>
    <w:unhideWhenUsed/>
    <w:rsid w:val="004275EA"/>
  </w:style>
  <w:style w:type="paragraph" w:styleId="afa">
    <w:name w:val="annotation subject"/>
    <w:basedOn w:val="af8"/>
    <w:next w:val="af8"/>
    <w:link w:val="af9"/>
    <w:uiPriority w:val="99"/>
    <w:semiHidden/>
    <w:unhideWhenUsed/>
    <w:qFormat/>
    <w:rsid w:val="004275EA"/>
    <w:rPr>
      <w:b/>
      <w:bCs/>
    </w:rPr>
  </w:style>
  <w:style w:type="paragraph" w:styleId="afc">
    <w:name w:val="Balloon Text"/>
    <w:basedOn w:val="a2"/>
    <w:link w:val="afb"/>
    <w:uiPriority w:val="99"/>
    <w:semiHidden/>
    <w:unhideWhenUsed/>
    <w:qFormat/>
    <w:rsid w:val="004275EA"/>
    <w:rPr>
      <w:rFonts w:ascii="Segoe UI" w:hAnsi="Segoe UI" w:cs="Segoe UI"/>
      <w:sz w:val="18"/>
      <w:szCs w:val="18"/>
    </w:rPr>
  </w:style>
  <w:style w:type="numbering" w:customStyle="1" w:styleId="aff6">
    <w:name w:val="Без списка"/>
    <w:uiPriority w:val="99"/>
    <w:semiHidden/>
    <w:unhideWhenUsed/>
    <w:qFormat/>
  </w:style>
  <w:style w:type="table" w:styleId="aff7">
    <w:name w:val="Table Grid"/>
    <w:basedOn w:val="a5"/>
    <w:uiPriority w:val="59"/>
    <w:rsid w:val="008D03B1"/>
    <w:pPr>
      <w:suppressAutoHyphens w:val="0"/>
    </w:pPr>
    <w:rPr>
      <w:rFonts w:eastAsia="Times New Roman"/>
      <w:kern w:val="0"/>
      <w:sz w:val="22"/>
      <w:szCs w:val="22"/>
      <w:lang w:eastAsia="zh-CN"/>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5Dark">
    <w:name w:val="List Table 5 Dark"/>
    <w:basedOn w:val="a5"/>
    <w:uiPriority w:val="50"/>
    <w:rsid w:val="00CA68A1"/>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a5"/>
    <w:uiPriority w:val="51"/>
    <w:rsid w:val="00CA68A1"/>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a5"/>
    <w:uiPriority w:val="47"/>
    <w:rsid w:val="00EF2743"/>
    <w:tblPr>
      <w:tblStyleRowBandSize w:val="1"/>
      <w:tblStyleColBandSize w:val="1"/>
      <w:tblInd w:w="0" w:type="dxa"/>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CellMar>
        <w:top w:w="0" w:type="dxa"/>
        <w:left w:w="108" w:type="dxa"/>
        <w:bottom w:w="0" w:type="dxa"/>
        <w:right w:w="108" w:type="dxa"/>
      </w:tblCellMar>
    </w:tblPr>
    <w:tblStylePr w:type="firstRow">
      <w:rPr>
        <w:b/>
        <w:bCs/>
      </w:rPr>
      <w:tblPr/>
      <w:tcPr>
        <w:tcBorders>
          <w:top w:val="nil"/>
          <w:bottom w:val="single" w:sz="12" w:space="0" w:color="156082" w:themeColor="accent1"/>
          <w:insideH w:val="nil"/>
          <w:insideV w:val="nil"/>
        </w:tcBorders>
        <w:shd w:val="clear" w:color="auto" w:fill="FFFFFF" w:themeFill="background1"/>
      </w:tcPr>
    </w:tblStylePr>
    <w:tblStylePr w:type="lastRow">
      <w:rPr>
        <w:b/>
        <w:bCs/>
      </w:rPr>
      <w:tblPr/>
      <w:tcPr>
        <w:tcBorders>
          <w:top w:val="double" w:sz="2" w:space="0" w:color="156082" w:themeColor="accent1"/>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ListTable2Accent3">
    <w:name w:val="List Table 2 Accent 3"/>
    <w:basedOn w:val="a5"/>
    <w:uiPriority w:val="47"/>
    <w:rsid w:val="009F4AAD"/>
    <w:tblPr>
      <w:tblStyleRowBandSize w:val="1"/>
      <w:tblStyleColBandSize w:val="1"/>
      <w:tblInd w:w="0" w:type="dxa"/>
      <w:tblBorders>
        <w:top w:val="single" w:sz="4" w:space="0" w:color="47D459" w:themeColor="accent3" w:themeTint="99"/>
        <w:bottom w:val="single" w:sz="4" w:space="0" w:color="47D459" w:themeColor="accent3" w:themeTint="99"/>
        <w:insideH w:val="single" w:sz="4" w:space="0" w:color="47D45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ListTable3Accent1">
    <w:name w:val="List Table 3 Accent 1"/>
    <w:basedOn w:val="a5"/>
    <w:uiPriority w:val="48"/>
    <w:rsid w:val="008959A3"/>
    <w:tblPr>
      <w:tblStyleRowBandSize w:val="1"/>
      <w:tblStyleColBandSize w:val="1"/>
      <w:tblInd w:w="0" w:type="dxa"/>
      <w:tblBorders>
        <w:top w:val="single" w:sz="4" w:space="0" w:color="156082" w:themeColor="accent1"/>
        <w:left w:val="single" w:sz="4" w:space="0" w:color="156082" w:themeColor="accent1"/>
        <w:bottom w:val="single" w:sz="4" w:space="0" w:color="156082" w:themeColor="accent1"/>
        <w:right w:val="single" w:sz="4" w:space="0" w:color="156082" w:themeColor="accent1"/>
      </w:tblBorders>
      <w:tblCellMar>
        <w:top w:w="0" w:type="dxa"/>
        <w:left w:w="108" w:type="dxa"/>
        <w:bottom w:w="0" w:type="dxa"/>
        <w:right w:w="108" w:type="dxa"/>
      </w:tblCellMar>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GridTable6Colorful">
    <w:name w:val="Grid Table 6 Colorful"/>
    <w:basedOn w:val="a5"/>
    <w:uiPriority w:val="51"/>
    <w:rsid w:val="00065B1A"/>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ff8">
    <w:name w:val="Аннотация"/>
    <w:basedOn w:val="aff3"/>
    <w:qFormat/>
    <w:rsid w:val="008D03B1"/>
    <w:pPr>
      <w:ind w:firstLine="289"/>
      <w:jc w:val="both"/>
    </w:pPr>
    <w:rPr>
      <w:b/>
      <w:i w:val="0"/>
      <w:sz w:val="18"/>
    </w:rPr>
  </w:style>
  <w:style w:type="paragraph" w:customStyle="1" w:styleId="aff9">
    <w:name w:val="Ключевые слова"/>
    <w:basedOn w:val="a2"/>
    <w:next w:val="1"/>
    <w:qFormat/>
    <w:rsid w:val="008D03B1"/>
    <w:pPr>
      <w:spacing w:after="200"/>
      <w:ind w:firstLine="289"/>
      <w:jc w:val="both"/>
    </w:pPr>
    <w:rPr>
      <w:b/>
      <w:i/>
      <w:sz w:val="18"/>
    </w:rPr>
  </w:style>
  <w:style w:type="paragraph" w:customStyle="1" w:styleId="affa">
    <w:name w:val="Мэйл"/>
    <w:basedOn w:val="a2"/>
    <w:qFormat/>
    <w:rsid w:val="008D03B1"/>
    <w:pPr>
      <w:spacing w:after="120"/>
      <w:jc w:val="center"/>
    </w:pPr>
    <w:rPr>
      <w:sz w:val="22"/>
      <w:lang w:val="en-US"/>
    </w:rPr>
  </w:style>
  <w:style w:type="paragraph" w:customStyle="1" w:styleId="a">
    <w:name w:val="Название рисунка"/>
    <w:basedOn w:val="a2"/>
    <w:qFormat/>
    <w:rsid w:val="008D03B1"/>
    <w:pPr>
      <w:numPr>
        <w:numId w:val="11"/>
      </w:numPr>
      <w:tabs>
        <w:tab w:val="left" w:pos="289"/>
      </w:tabs>
      <w:spacing w:before="120" w:after="200"/>
    </w:pPr>
    <w:rPr>
      <w:sz w:val="16"/>
    </w:rPr>
  </w:style>
  <w:style w:type="character" w:customStyle="1" w:styleId="afe">
    <w:name w:val="Основной текст Знак"/>
    <w:link w:val="a3"/>
    <w:rsid w:val="008D03B1"/>
    <w:rPr>
      <w:rFonts w:ascii="Times New Roman" w:eastAsia="MS Mincho" w:hAnsi="Times New Roman" w:cs="Times New Roman"/>
      <w:spacing w:val="-1"/>
      <w:kern w:val="0"/>
      <w:sz w:val="20"/>
      <w:szCs w:val="20"/>
      <w:lang w:eastAsia="en-US"/>
      <w14:ligatures w14:val="none"/>
    </w:rPr>
  </w:style>
  <w:style w:type="paragraph" w:styleId="a0">
    <w:name w:val="Bibliography"/>
    <w:basedOn w:val="a3"/>
    <w:next w:val="a2"/>
    <w:qFormat/>
    <w:rsid w:val="008D03B1"/>
    <w:pPr>
      <w:numPr>
        <w:numId w:val="12"/>
      </w:numPr>
      <w:tabs>
        <w:tab w:val="clear" w:pos="288"/>
        <w:tab w:val="left" w:pos="357"/>
      </w:tabs>
      <w:spacing w:after="50" w:line="180" w:lineRule="exact"/>
      <w:ind w:left="357" w:hanging="357"/>
    </w:pPr>
    <w:rPr>
      <w:spacing w:val="0"/>
      <w:sz w:val="16"/>
    </w:rPr>
  </w:style>
  <w:style w:type="paragraph" w:customStyle="1" w:styleId="-">
    <w:name w:val="Список-перечень"/>
    <w:basedOn w:val="a3"/>
    <w:next w:val="a3"/>
    <w:qFormat/>
    <w:rsid w:val="008D03B1"/>
    <w:pPr>
      <w:numPr>
        <w:numId w:val="13"/>
      </w:numPr>
      <w:spacing w:after="60"/>
    </w:pPr>
  </w:style>
  <w:style w:type="paragraph" w:customStyle="1" w:styleId="affb">
    <w:name w:val="Строка таблицы"/>
    <w:basedOn w:val="a2"/>
    <w:qFormat/>
    <w:rsid w:val="008D03B1"/>
    <w:pPr>
      <w:tabs>
        <w:tab w:val="left" w:pos="1021"/>
      </w:tabs>
    </w:pPr>
    <w:rPr>
      <w:sz w:val="16"/>
    </w:rPr>
  </w:style>
  <w:style w:type="paragraph" w:customStyle="1" w:styleId="a1">
    <w:name w:val="Таблица"/>
    <w:basedOn w:val="a2"/>
    <w:next w:val="a2"/>
    <w:qFormat/>
    <w:rsid w:val="008D03B1"/>
    <w:pPr>
      <w:numPr>
        <w:numId w:val="14"/>
      </w:numPr>
      <w:tabs>
        <w:tab w:val="left" w:pos="567"/>
      </w:tabs>
      <w:spacing w:before="240" w:after="80"/>
      <w:jc w:val="center"/>
    </w:pPr>
    <w:rPr>
      <w:smallCaps/>
      <w:sz w:val="16"/>
    </w:rPr>
  </w:style>
  <w:style w:type="paragraph" w:customStyle="1" w:styleId="affc">
    <w:name w:val="Финансирование"/>
    <w:basedOn w:val="a2"/>
    <w:qFormat/>
    <w:rsid w:val="008D03B1"/>
    <w:pPr>
      <w:framePr w:w="4876" w:wrap="notBeside" w:hAnchor="margin" w:yAlign="bottom"/>
      <w:pBdr>
        <w:top w:val="single" w:sz="8" w:space="3" w:color="auto"/>
      </w:pBdr>
      <w:ind w:firstLine="289"/>
    </w:pPr>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majorFont>
      <a:minorFont>
        <a:latin typeface="Aptos"/>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729D8D-AF2B-4400-9560-8F3773774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2814</Words>
  <Characters>16043</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Семенов</dc:creator>
  <cp:lastModifiedBy>Ri</cp:lastModifiedBy>
  <cp:revision>2</cp:revision>
  <cp:lastPrinted>2026-04-01T14:26:00Z</cp:lastPrinted>
  <dcterms:created xsi:type="dcterms:W3CDTF">2026-04-16T13:08:00Z</dcterms:created>
  <dcterms:modified xsi:type="dcterms:W3CDTF">2026-04-16T13:08:00Z</dcterms:modified>
  <dc:language>ru-RU</dc:language>
</cp:coreProperties>
</file>