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1D686" w14:textId="77777777" w:rsidR="003844B2" w:rsidRDefault="0025591C" w:rsidP="00B44E77">
      <w:pPr>
        <w:pStyle w:val="a7"/>
      </w:pPr>
      <w:r>
        <w:t xml:space="preserve">Языковой разрыв в цифровом менеджменте: </w:t>
      </w:r>
      <w:r w:rsidRPr="00B44E77">
        <w:t>критический</w:t>
      </w:r>
      <w:r>
        <w:t xml:space="preserve"> обзор русских переводов англоязычных источников по адаптивным бизнес-моделям</w:t>
      </w:r>
    </w:p>
    <w:p w14:paraId="4C4FAF24" w14:textId="5D2F4618" w:rsidR="003844B2" w:rsidRDefault="0025591C" w:rsidP="00B44E77">
      <w:pPr>
        <w:pStyle w:val="ab"/>
      </w:pPr>
      <w:r>
        <w:t>К.</w:t>
      </w:r>
      <w:r w:rsidR="00B44E77">
        <w:t xml:space="preserve"> </w:t>
      </w:r>
      <w:r>
        <w:t>В. Даниленко</w:t>
      </w:r>
    </w:p>
    <w:p w14:paraId="27FED777" w14:textId="592AE20F" w:rsidR="003844B2" w:rsidRDefault="0025591C" w:rsidP="00B44E77">
      <w:pPr>
        <w:pStyle w:val="ac"/>
      </w:pPr>
      <w:r>
        <w:t>Санкт-Петербургский государственный электротехнический университет</w:t>
      </w:r>
      <w:r w:rsidR="00B44E77">
        <w:br/>
        <w:t>«</w:t>
      </w:r>
      <w:r>
        <w:t>ЛЭТИ</w:t>
      </w:r>
      <w:r w:rsidR="00B44E77">
        <w:t>»</w:t>
      </w:r>
      <w:r>
        <w:t xml:space="preserve"> им</w:t>
      </w:r>
      <w:r w:rsidR="00B44E77">
        <w:t>. В.</w:t>
      </w:r>
      <w:r>
        <w:t>И. Ульянова (Ленина)</w:t>
      </w:r>
    </w:p>
    <w:p w14:paraId="7391794B" w14:textId="77777777" w:rsidR="003844B2" w:rsidRDefault="0025591C" w:rsidP="00B44E77">
      <w:pPr>
        <w:pStyle w:val="af0"/>
        <w:spacing w:after="0"/>
        <w:rPr>
          <w:lang w:val="ru-RU"/>
        </w:rPr>
      </w:pPr>
      <w:r>
        <w:t>danilenko@kirill-viktorovich.ru</w:t>
      </w:r>
    </w:p>
    <w:p w14:paraId="60468162" w14:textId="77777777" w:rsidR="00B44E77" w:rsidRPr="00B44E77" w:rsidRDefault="00B44E77" w:rsidP="00B44E77">
      <w:pPr>
        <w:pStyle w:val="af0"/>
        <w:rPr>
          <w:lang w:val="ru-RU"/>
        </w:rPr>
        <w:sectPr w:rsidR="00B44E77" w:rsidRPr="00B44E77" w:rsidSect="009817D0">
          <w:footerReference w:type="default" r:id="rId7"/>
          <w:pgSz w:w="11906" w:h="16838"/>
          <w:pgMar w:top="907" w:right="907" w:bottom="1440" w:left="907" w:header="709" w:footer="709" w:gutter="0"/>
          <w:pgNumType w:start="465"/>
          <w:cols w:space="720"/>
        </w:sectPr>
      </w:pPr>
    </w:p>
    <w:p w14:paraId="3AFF8067" w14:textId="77777777" w:rsidR="003844B2" w:rsidRDefault="003844B2">
      <w:pPr>
        <w:sectPr w:rsidR="003844B2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691" w:space="708"/>
            <w:col w:w="4691" w:space="0"/>
          </w:cols>
        </w:sectPr>
      </w:pPr>
    </w:p>
    <w:p w14:paraId="76EDBDDD" w14:textId="77777777" w:rsidR="003844B2" w:rsidRDefault="0025591C" w:rsidP="00B44E77">
      <w:pPr>
        <w:pStyle w:val="ad"/>
      </w:pPr>
      <w:r>
        <w:rPr>
          <w:bCs/>
          <w:i/>
          <w:iCs/>
        </w:rPr>
        <w:t xml:space="preserve">Аннотация. </w:t>
      </w:r>
      <w:r>
        <w:t>В статье исследуется проблема терминологического и концептуального разрыва, возникающего при переводе на русский язык ключевых англоязычных концепций в области адаптивных бизнес-моделей и цифрового менеджмента. На основе критического анализа переводных изданий, российских научных публикаций и оригинальных англоязычных источников выявлены систематические искажения и лакуны в понятийном аппарате. Построены сеть взаимосвязей ключевых терминов и пирамида уровней их абстракции. Предложены рекомендации по унификации русскоязычной терминологии для повышения качества научной коммуникации в среде цифровой экономики.</w:t>
      </w:r>
    </w:p>
    <w:p w14:paraId="1999CE4F" w14:textId="4F3D2D54" w:rsidR="003844B2" w:rsidRDefault="0025591C" w:rsidP="00B44E77">
      <w:pPr>
        <w:pStyle w:val="af"/>
        <w:rPr>
          <w:bCs/>
        </w:rPr>
      </w:pPr>
      <w:r>
        <w:rPr>
          <w:bCs/>
        </w:rPr>
        <w:t xml:space="preserve">Ключевые слова: </w:t>
      </w:r>
      <w:r>
        <w:t>адаптивная бизнес-модель; языковой разрыв; терминология цифрового менеджмента; перевод научных концепций; цифровая экос</w:t>
      </w:r>
      <w:r w:rsidR="00B44E77">
        <w:t>истема; платформенная экономика</w:t>
      </w:r>
    </w:p>
    <w:p w14:paraId="3C8C6C77" w14:textId="77777777" w:rsidR="003844B2" w:rsidRDefault="0025591C">
      <w:pPr>
        <w:pStyle w:val="1"/>
        <w:numPr>
          <w:ilvl w:val="0"/>
          <w:numId w:val="1"/>
        </w:numPr>
      </w:pPr>
      <w:r>
        <w:t>Введение: Цифровые базы знаний в эпоху Industry 4.0</w:t>
      </w:r>
    </w:p>
    <w:p w14:paraId="7229DACF" w14:textId="344543CB" w:rsidR="003844B2" w:rsidRDefault="0025591C" w:rsidP="00B44E77">
      <w:pPr>
        <w:pStyle w:val="a3"/>
      </w:pPr>
      <w:r>
        <w:t>Академическая литература по цифровому менеджменту и бизнес-моделированию формировалась преимущественно в англоязычном пространстве. Такие понятия, как</w:t>
      </w:r>
      <w:r w:rsidR="00B44E77">
        <w:t xml:space="preserve"> </w:t>
      </w:r>
      <w:proofErr w:type="spellStart"/>
      <w:r>
        <w:rPr>
          <w:i/>
          <w:iCs/>
        </w:rPr>
        <w:t>adaptive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business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model</w:t>
      </w:r>
      <w:proofErr w:type="spellEnd"/>
      <w:r>
        <w:t>,</w:t>
      </w:r>
      <w:r w:rsidR="00B44E77">
        <w:t xml:space="preserve"> </w:t>
      </w:r>
      <w:proofErr w:type="spellStart"/>
      <w:r>
        <w:rPr>
          <w:i/>
          <w:iCs/>
        </w:rPr>
        <w:t>value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proposition</w:t>
      </w:r>
      <w:proofErr w:type="spellEnd"/>
      <w:r>
        <w:t>,</w:t>
      </w:r>
      <w:r w:rsidR="00B44E77">
        <w:t xml:space="preserve"> </w:t>
      </w:r>
      <w:proofErr w:type="spellStart"/>
      <w:r>
        <w:rPr>
          <w:i/>
          <w:iCs/>
        </w:rPr>
        <w:t>platform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ecosystem</w:t>
      </w:r>
      <w:proofErr w:type="spellEnd"/>
      <w:r w:rsidR="00B44E77">
        <w:t xml:space="preserve"> </w:t>
      </w:r>
      <w:r>
        <w:t>и</w:t>
      </w:r>
      <w:r w:rsidR="00B44E77">
        <w:t xml:space="preserve"> </w:t>
      </w:r>
      <w:proofErr w:type="spellStart"/>
      <w:r>
        <w:rPr>
          <w:i/>
          <w:iCs/>
        </w:rPr>
        <w:t>dynamic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capabilities</w:t>
      </w:r>
      <w:proofErr w:type="spellEnd"/>
      <w:r>
        <w:t xml:space="preserve">, стали фундаментом современной теории управления. Однако при трансляции этих концепций в русскоязычную научную среду возникает устойчивый языковой разрыв – комплекс терминологических, концептуальных и прагматических несоответствий между оригинальным содержанием и его переводными интерпретациями. </w:t>
      </w:r>
    </w:p>
    <w:p w14:paraId="4ABC1F46" w14:textId="77777777" w:rsidR="003844B2" w:rsidRDefault="0025591C" w:rsidP="00B44E77">
      <w:pPr>
        <w:pStyle w:val="a3"/>
      </w:pPr>
      <w:r>
        <w:t>Особую остроту проблема приобретает в контексте диссертационных исследований, стратегических документов цифровой трансформации и учебной литературы, где от точности понятийного аппарата зависит как качество научного вклада, так и практическая применимость рекомендаций. Цель настоящего доклада – критически оценить существующее состояние русскоязычных переводов ключевых концепций адаптивных бизнес-моделей и предложить подходы к его улучшению.</w:t>
      </w:r>
    </w:p>
    <w:p w14:paraId="2E08A5CF" w14:textId="77777777" w:rsidR="003844B2" w:rsidRDefault="0025591C" w:rsidP="00B44E77">
      <w:pPr>
        <w:pStyle w:val="2"/>
      </w:pPr>
      <w:r>
        <w:t xml:space="preserve">Постановка проблемы </w:t>
      </w:r>
    </w:p>
    <w:p w14:paraId="1CCDC6D3" w14:textId="77777777" w:rsidR="003844B2" w:rsidRDefault="0025591C" w:rsidP="00B44E77">
      <w:pPr>
        <w:pStyle w:val="a3"/>
      </w:pPr>
      <w:r>
        <w:t>Языковой разрыв в цифровом менеджменте проявляется в трёх формах:</w:t>
      </w:r>
    </w:p>
    <w:p w14:paraId="1D515137" w14:textId="0872C57A" w:rsidR="003844B2" w:rsidRDefault="00B44E77" w:rsidP="00B44E77">
      <w:pPr>
        <w:pStyle w:val="-"/>
      </w:pPr>
      <w:r>
        <w:t>т</w:t>
      </w:r>
      <w:r w:rsidR="0025591C">
        <w:t xml:space="preserve">ерминологическая вариативность – один английский термин переводится несколькими </w:t>
      </w:r>
      <w:r w:rsidR="0025591C">
        <w:t>несовместимыми русскими эквивалентами (например, </w:t>
      </w:r>
      <w:proofErr w:type="spellStart"/>
      <w:r w:rsidR="0025591C">
        <w:t>business</w:t>
      </w:r>
      <w:proofErr w:type="spellEnd"/>
      <w:r w:rsidR="0025591C">
        <w:t xml:space="preserve"> </w:t>
      </w:r>
      <w:proofErr w:type="spellStart"/>
      <w:r w:rsidR="0025591C">
        <w:t>model</w:t>
      </w:r>
      <w:proofErr w:type="spellEnd"/>
      <w:r w:rsidR="0025591C">
        <w:t xml:space="preserve"> – «бизнес-модель», «модель бизнеса», «предпринимательская модель»);</w:t>
      </w:r>
    </w:p>
    <w:p w14:paraId="53A5662C" w14:textId="239ECD85" w:rsidR="003844B2" w:rsidRDefault="00B44E77" w:rsidP="00B44E77">
      <w:pPr>
        <w:pStyle w:val="-"/>
      </w:pPr>
      <w:r>
        <w:t>к</w:t>
      </w:r>
      <w:r w:rsidR="0025591C">
        <w:t>онцептуальная редукция – при переводе утрачивается смысловая глубина понятия (например,</w:t>
      </w:r>
      <w:r>
        <w:t xml:space="preserve"> </w:t>
      </w:r>
      <w:proofErr w:type="spellStart"/>
      <w:r w:rsidR="0025591C">
        <w:t>dynamic</w:t>
      </w:r>
      <w:proofErr w:type="spellEnd"/>
      <w:r w:rsidR="0025591C">
        <w:t xml:space="preserve"> </w:t>
      </w:r>
      <w:proofErr w:type="spellStart"/>
      <w:r w:rsidR="0025591C">
        <w:t>capabilities</w:t>
      </w:r>
      <w:proofErr w:type="spellEnd"/>
      <w:r>
        <w:t xml:space="preserve"> </w:t>
      </w:r>
      <w:r w:rsidR="0025591C">
        <w:t>нередко сводится к «динамическим компетенциям», теряя акцент на организационных рутинах и адаптации);</w:t>
      </w:r>
    </w:p>
    <w:p w14:paraId="0B4D92DC" w14:textId="4ACF7A5E" w:rsidR="003844B2" w:rsidRDefault="00B44E77" w:rsidP="00B44E77">
      <w:pPr>
        <w:pStyle w:val="-"/>
      </w:pPr>
      <w:r>
        <w:t>л</w:t>
      </w:r>
      <w:r w:rsidR="0025591C">
        <w:t>ексические лакуны – отсутствие устоявшегося русского эквивалента вынуждает авторов либо транслитерировать термин, либо прибегать к громоздким описательным конструкциям.</w:t>
      </w:r>
    </w:p>
    <w:p w14:paraId="3A07B27A" w14:textId="77777777" w:rsidR="003844B2" w:rsidRDefault="0025591C" w:rsidP="00B44E77">
      <w:pPr>
        <w:pStyle w:val="2"/>
      </w:pPr>
      <w:r>
        <w:t>Цели и задачи исследования</w:t>
      </w:r>
    </w:p>
    <w:p w14:paraId="5456C0C5" w14:textId="77777777" w:rsidR="003844B2" w:rsidRDefault="0025591C" w:rsidP="00B44E77">
      <w:pPr>
        <w:pStyle w:val="a3"/>
      </w:pPr>
      <w:r>
        <w:t>Целью данной работы является критический анализ русскоязычных переводов ключевых англоязычных терминов и концепций в области адаптивных бизнес-моделей и цифрового менеджмента, а также оценка их влияния на качество научной и управленческой коммуникации.</w:t>
      </w:r>
    </w:p>
    <w:p w14:paraId="1F2E263A" w14:textId="77777777" w:rsidR="003844B2" w:rsidRDefault="0025591C">
      <w:pPr>
        <w:spacing w:after="120"/>
        <w:ind w:firstLine="289"/>
        <w:jc w:val="both"/>
      </w:pPr>
      <w:r>
        <w:t>Для достижения данной цели поставлены следующие задачи:</w:t>
      </w:r>
      <w:r>
        <w:tab/>
      </w:r>
    </w:p>
    <w:p w14:paraId="487D3EAF" w14:textId="77777777" w:rsidR="003844B2" w:rsidRDefault="0025591C" w:rsidP="00B44E77">
      <w:pPr>
        <w:pStyle w:val="-"/>
      </w:pPr>
      <w:r>
        <w:t>Проанализировать оригинальные англоязычные источники по адаптивным бизнес-моделям, цифровым экосистемам и динамическим способностям для выделения базового понятийного аппарата.</w:t>
      </w:r>
    </w:p>
    <w:p w14:paraId="07DAA196" w14:textId="77777777" w:rsidR="003844B2" w:rsidRDefault="0025591C" w:rsidP="00B44E77">
      <w:pPr>
        <w:pStyle w:val="-"/>
      </w:pPr>
      <w:r>
        <w:t>Провести обзор русскоязычных переводных и оригинальных публикаций и выявить используемые эквиваленты ключевых терминов (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model</w:t>
      </w:r>
      <w:proofErr w:type="spellEnd"/>
      <w:r>
        <w:t xml:space="preserve">, </w:t>
      </w:r>
      <w:proofErr w:type="spellStart"/>
      <w:r>
        <w:t>adaptive</w:t>
      </w:r>
      <w:proofErr w:type="spellEnd"/>
      <w:r>
        <w:t xml:space="preserve"> </w:t>
      </w:r>
      <w:proofErr w:type="spellStart"/>
      <w:r>
        <w:t>business</w:t>
      </w:r>
      <w:proofErr w:type="spellEnd"/>
      <w:r>
        <w:t xml:space="preserve"> </w:t>
      </w:r>
      <w:proofErr w:type="spellStart"/>
      <w:r>
        <w:t>model</w:t>
      </w:r>
      <w:proofErr w:type="spellEnd"/>
      <w:r>
        <w:t xml:space="preserve">, </w:t>
      </w:r>
      <w:proofErr w:type="spellStart"/>
      <w:r>
        <w:t>dynamic</w:t>
      </w:r>
      <w:proofErr w:type="spellEnd"/>
      <w:r>
        <w:t xml:space="preserve"> </w:t>
      </w:r>
      <w:proofErr w:type="spellStart"/>
      <w:r>
        <w:t>capabilities</w:t>
      </w:r>
      <w:proofErr w:type="spellEnd"/>
      <w:r>
        <w:t xml:space="preserve">, </w:t>
      </w:r>
      <w:proofErr w:type="spellStart"/>
      <w:r>
        <w:t>resilience</w:t>
      </w:r>
      <w:proofErr w:type="spellEnd"/>
      <w:r>
        <w:t xml:space="preserve">, </w:t>
      </w:r>
      <w:proofErr w:type="spellStart"/>
      <w:r>
        <w:t>platform</w:t>
      </w:r>
      <w:proofErr w:type="spellEnd"/>
      <w:r>
        <w:t xml:space="preserve"> </w:t>
      </w:r>
      <w:proofErr w:type="spellStart"/>
      <w:r>
        <w:t>ecosystem</w:t>
      </w:r>
      <w:proofErr w:type="spellEnd"/>
      <w:r>
        <w:t xml:space="preserve"> и др.).</w:t>
      </w:r>
    </w:p>
    <w:p w14:paraId="69759B15" w14:textId="77777777" w:rsidR="003844B2" w:rsidRDefault="0025591C" w:rsidP="00B44E77">
      <w:pPr>
        <w:pStyle w:val="-"/>
      </w:pPr>
      <w:r>
        <w:t>Классифицировать типы расхождений (вариативность перевода, концептуальная редукция, лексические лакуны) и оценить их возможное влияние на интерпретацию теорий и результатов исследований.</w:t>
      </w:r>
    </w:p>
    <w:p w14:paraId="5FCB592E" w14:textId="77777777" w:rsidR="003844B2" w:rsidRDefault="0025591C" w:rsidP="00B44E77">
      <w:pPr>
        <w:pStyle w:val="-"/>
      </w:pPr>
      <w:r>
        <w:t>Построить сеть взаимосвязей терминов и пирамиду уровней абстракции понятий, визуализирующих структуру понятийного пространства адаптивных бизнес-моделей в русском языке.</w:t>
      </w:r>
    </w:p>
    <w:p w14:paraId="172930C6" w14:textId="77777777" w:rsidR="003844B2" w:rsidRDefault="0025591C" w:rsidP="00B44E77">
      <w:pPr>
        <w:pStyle w:val="-"/>
        <w:spacing w:after="120"/>
      </w:pPr>
      <w:r>
        <w:lastRenderedPageBreak/>
        <w:t>Сформулировать рекомендации по унификации терминологии и правилам указания оригинальных англоязычных терминов в русскоязычных научных текстах.</w:t>
      </w:r>
    </w:p>
    <w:p w14:paraId="2240E776" w14:textId="77777777" w:rsidR="003844B2" w:rsidRDefault="0025591C" w:rsidP="00B44E77">
      <w:pPr>
        <w:pStyle w:val="a3"/>
      </w:pPr>
      <w:r>
        <w:t>Результаты исследования позволят определить оптимальные направления для дальнейшей интеграции цифровых инструментов в инновационный менеджмент и поддержку бизнес-процессов.</w:t>
      </w:r>
    </w:p>
    <w:p w14:paraId="2EFC50F1" w14:textId="77777777" w:rsidR="003844B2" w:rsidRDefault="0025591C" w:rsidP="00B44E77">
      <w:pPr>
        <w:pStyle w:val="1"/>
      </w:pPr>
      <w:r>
        <w:t>Теоретические основы</w:t>
      </w:r>
    </w:p>
    <w:p w14:paraId="20B9F46F" w14:textId="77777777" w:rsidR="003844B2" w:rsidRDefault="0025591C" w:rsidP="00B44E77">
      <w:pPr>
        <w:pStyle w:val="2"/>
      </w:pPr>
      <w:r>
        <w:t>Адаптвиная бизнес-модель</w:t>
      </w:r>
    </w:p>
    <w:p w14:paraId="18E319B9" w14:textId="77777777" w:rsidR="003844B2" w:rsidRDefault="0025591C" w:rsidP="00B44E77">
      <w:pPr>
        <w:pStyle w:val="a3"/>
      </w:pPr>
      <w:r>
        <w:t>Адаптивная бизнес-модель представляет собой динамическую конфигурацию элементов создания, доставки и присвоения ценности, способную реконфигурироваться в ответ на изменения внешней среды. В отличие от статической бизнес-модели, адаптивная предполагает встроенные механизмы мониторинга сигналов среды и пересмотра ценностного предложения. Данная концепция стала базовой для теории цифровой трансформации и управления платформенными экосистемами [2, 3, 4]</w:t>
      </w:r>
    </w:p>
    <w:p w14:paraId="5B5E880D" w14:textId="77777777" w:rsidR="003844B2" w:rsidRDefault="0025591C" w:rsidP="00B44E77">
      <w:pPr>
        <w:pStyle w:val="2"/>
      </w:pPr>
      <w:r>
        <w:t>Большие языковые модели</w:t>
      </w:r>
    </w:p>
    <w:p w14:paraId="54963D41" w14:textId="77777777" w:rsidR="003844B2" w:rsidRDefault="0025591C" w:rsidP="00B44E77">
      <w:pPr>
        <w:pStyle w:val="a3"/>
      </w:pPr>
      <w:r>
        <w:t>Концепция динамических способностей описывает потенциал организации целенаправленно интегрировать, наращивать и реконфигурировать внутренние и внешние ресурсы в условиях быстро меняющейся среды. Данный конструкт лежит в основе объяснения устойчивых конкурентных преимуществ в цифровых экосистемах, где жизненный цикл технологий существенно сокращается [1]. Точная передача этого понятия в научных текстах критически важна для корректного применения теории в практике управления.</w:t>
      </w:r>
    </w:p>
    <w:p w14:paraId="22B8BAFC" w14:textId="77777777" w:rsidR="003844B2" w:rsidRDefault="0025591C" w:rsidP="00B44E77">
      <w:pPr>
        <w:pStyle w:val="2"/>
      </w:pPr>
      <w:r>
        <w:t>Платформенные экосистемы и цифровой менеджмент</w:t>
      </w:r>
    </w:p>
    <w:p w14:paraId="23EA1D41" w14:textId="77777777" w:rsidR="003844B2" w:rsidRDefault="0025591C" w:rsidP="00B44E77">
      <w:pPr>
        <w:pStyle w:val="a3"/>
      </w:pPr>
      <w:r>
        <w:t>Платформенная экосистема рассматривается как многосторонняя система взаимодействий, где платформа выступает организующим ядром, координирующим комплементарных участников через технологическую архитектуру и правила доступа. Управление такими экосистемами – цифровой менеджмент – предполагает оперирование специфическим понятийным аппаратом, сформировавшимся преимущественно в англоязычной научной традиции. Несогласованность переводов ключевых терминов создаёт концептуальный барьер между международной теорией и её практическим применением в российском контексте [5].</w:t>
      </w:r>
    </w:p>
    <w:p w14:paraId="677119EE" w14:textId="77777777" w:rsidR="003844B2" w:rsidRDefault="0025591C" w:rsidP="00B44E77">
      <w:pPr>
        <w:pStyle w:val="2"/>
      </w:pPr>
      <w:r>
        <w:t>Терминологические основы перевода научных концепций</w:t>
      </w:r>
    </w:p>
    <w:p w14:paraId="78FCBF10" w14:textId="6C359710" w:rsidR="003844B2" w:rsidRDefault="0025591C" w:rsidP="00B44E77">
      <w:pPr>
        <w:pStyle w:val="a3"/>
      </w:pPr>
      <w:r>
        <w:t>Научный термин отличается от общеупотребительного слова требованиями однозначности, системности и непротиворечивости в рамках предметной области. В переводоведении выделяют три основные стратегии передачи иноязычного термина: калькирование, транслитерацию и описательный перевод, каждая из которых несёт риск частичной потери исходного концептуального содержания. Именно несистемное смешение этих стратегий в русскоязычной литературе по цифровому менеджменту порождает терминологическую вариативность, анализ которой составляет предмет настоящего исследования [8].</w:t>
      </w:r>
    </w:p>
    <w:p w14:paraId="133AAF78" w14:textId="77777777" w:rsidR="003844B2" w:rsidRDefault="0025591C" w:rsidP="00B44E77">
      <w:pPr>
        <w:pStyle w:val="1"/>
      </w:pPr>
      <w:r>
        <w:t>Методология исследования</w:t>
      </w:r>
    </w:p>
    <w:p w14:paraId="4D6A3C60" w14:textId="77777777" w:rsidR="003844B2" w:rsidRDefault="0025591C" w:rsidP="00B44E77">
      <w:pPr>
        <w:pStyle w:val="2"/>
      </w:pPr>
      <w:r>
        <w:t>Исходные данные:</w:t>
      </w:r>
    </w:p>
    <w:p w14:paraId="7F9B0809" w14:textId="77777777" w:rsidR="003844B2" w:rsidRDefault="0025591C" w:rsidP="00B44E77">
      <w:pPr>
        <w:pStyle w:val="a3"/>
      </w:pPr>
      <w:r>
        <w:t>Для проведения критического обзора была сформирована выборка из 40 источников: 15 оригинальных англоязычных работ (</w:t>
      </w:r>
      <w:proofErr w:type="spellStart"/>
      <w:r>
        <w:t>Osterwalder</w:t>
      </w:r>
      <w:proofErr w:type="spellEnd"/>
      <w:r>
        <w:t xml:space="preserve">, </w:t>
      </w:r>
      <w:proofErr w:type="spellStart"/>
      <w:r>
        <w:t>Teece</w:t>
      </w:r>
      <w:proofErr w:type="spellEnd"/>
      <w:r>
        <w:t xml:space="preserve">, </w:t>
      </w:r>
      <w:proofErr w:type="spellStart"/>
      <w:r>
        <w:t>Zott</w:t>
      </w:r>
      <w:proofErr w:type="spellEnd"/>
      <w:r>
        <w:t xml:space="preserve">, </w:t>
      </w:r>
      <w:proofErr w:type="spellStart"/>
      <w:r>
        <w:t>Amit</w:t>
      </w:r>
      <w:proofErr w:type="spellEnd"/>
      <w:r>
        <w:t xml:space="preserve"> и др.), 15 русскоязычных научных статей из журналов ВАК и </w:t>
      </w:r>
      <w:proofErr w:type="spellStart"/>
      <w:r>
        <w:t>Scopus</w:t>
      </w:r>
      <w:proofErr w:type="spellEnd"/>
      <w:r>
        <w:t xml:space="preserve">, а также 10 переводных учебников и монографий, изданных в России в период 2010–2024 гг. Анализ проводился по трём критериям: (1) полнота передачи концептуального содержания; (2) согласованность терминологии внутри источника; (3) совместимость с ГОСТ Р по терминологии в области информационных технологий. </w:t>
      </w:r>
    </w:p>
    <w:p w14:paraId="79904750" w14:textId="77777777" w:rsidR="003844B2" w:rsidRDefault="0025591C">
      <w:pPr>
        <w:pStyle w:val="2"/>
        <w:numPr>
          <w:ilvl w:val="1"/>
          <w:numId w:val="1"/>
        </w:numPr>
      </w:pPr>
      <w:r>
        <w:t>Системные искажения</w:t>
      </w:r>
    </w:p>
    <w:p w14:paraId="2F0CC69E" w14:textId="5D233CA2" w:rsidR="003844B2" w:rsidRDefault="0025591C">
      <w:pPr>
        <w:spacing w:after="120"/>
        <w:ind w:firstLine="289"/>
        <w:jc w:val="both"/>
      </w:pPr>
      <w:r>
        <w:t xml:space="preserve">В </w:t>
      </w:r>
      <w:r w:rsidR="00B44E77">
        <w:t>т</w:t>
      </w:r>
      <w:r>
        <w:t>абл</w:t>
      </w:r>
      <w:r w:rsidR="00B44E77">
        <w:t>.</w:t>
      </w:r>
      <w:r>
        <w:t xml:space="preserve"> 1 представлены наиболее показательные случаи терминологических несоответствий.</w:t>
      </w:r>
    </w:p>
    <w:p w14:paraId="182C6D4C" w14:textId="2BDA0D10" w:rsidR="003844B2" w:rsidRDefault="0025591C" w:rsidP="00B44E77">
      <w:pPr>
        <w:pStyle w:val="a1"/>
        <w:ind w:left="567" w:hanging="283"/>
      </w:pPr>
      <w:r>
        <w:t>Терминологические несоответствия в переводах концепций адаптивных бизнес-моделей</w:t>
      </w:r>
    </w:p>
    <w:tbl>
      <w:tblPr>
        <w:tblStyle w:val="aa"/>
        <w:tblW w:w="486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0"/>
        <w:gridCol w:w="1484"/>
        <w:gridCol w:w="1299"/>
        <w:gridCol w:w="1043"/>
      </w:tblGrid>
      <w:tr w:rsidR="003844B2" w14:paraId="0502004A" w14:textId="77777777" w:rsidTr="00B44E77">
        <w:trPr>
          <w:trHeight w:val="567"/>
        </w:trPr>
        <w:tc>
          <w:tcPr>
            <w:tcW w:w="1040" w:type="dxa"/>
          </w:tcPr>
          <w:p w14:paraId="7B69C48A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Оригинальный термин (EN)</w:t>
            </w:r>
          </w:p>
        </w:tc>
        <w:tc>
          <w:tcPr>
            <w:tcW w:w="1484" w:type="dxa"/>
          </w:tcPr>
          <w:p w14:paraId="23A5CA5C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Встречаемые русские переводы</w:t>
            </w:r>
          </w:p>
        </w:tc>
        <w:tc>
          <w:tcPr>
            <w:tcW w:w="1299" w:type="dxa"/>
          </w:tcPr>
          <w:p w14:paraId="2A50F860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Рекомендуемый эквивалент</w:t>
            </w:r>
          </w:p>
        </w:tc>
        <w:tc>
          <w:tcPr>
            <w:tcW w:w="1043" w:type="dxa"/>
          </w:tcPr>
          <w:p w14:paraId="7F554341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Тип искажения</w:t>
            </w:r>
          </w:p>
        </w:tc>
      </w:tr>
      <w:tr w:rsidR="003844B2" w14:paraId="47CDF17F" w14:textId="77777777" w:rsidTr="00B44E77">
        <w:trPr>
          <w:trHeight w:val="567"/>
        </w:trPr>
        <w:tc>
          <w:tcPr>
            <w:tcW w:w="1040" w:type="dxa"/>
          </w:tcPr>
          <w:p w14:paraId="38D1CB1C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Adaptive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business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model</w:t>
            </w:r>
            <w:proofErr w:type="spellEnd"/>
          </w:p>
        </w:tc>
        <w:tc>
          <w:tcPr>
            <w:tcW w:w="1484" w:type="dxa"/>
          </w:tcPr>
          <w:p w14:paraId="6369BBCC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Адаптивная бизнес-модель / Гибкая модель бизнеса / Самонастраивающаяся модель</w:t>
            </w:r>
          </w:p>
        </w:tc>
        <w:tc>
          <w:tcPr>
            <w:tcW w:w="1299" w:type="dxa"/>
          </w:tcPr>
          <w:p w14:paraId="6A567E03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Адаптивная бизнес-модель</w:t>
            </w:r>
          </w:p>
        </w:tc>
        <w:tc>
          <w:tcPr>
            <w:tcW w:w="1043" w:type="dxa"/>
          </w:tcPr>
          <w:p w14:paraId="132D316E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Вариативность</w:t>
            </w:r>
          </w:p>
        </w:tc>
      </w:tr>
      <w:tr w:rsidR="003844B2" w14:paraId="56448018" w14:textId="77777777" w:rsidTr="00B44E77">
        <w:trPr>
          <w:trHeight w:val="567"/>
        </w:trPr>
        <w:tc>
          <w:tcPr>
            <w:tcW w:w="1040" w:type="dxa"/>
          </w:tcPr>
          <w:p w14:paraId="42B6793E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Value </w:t>
            </w:r>
            <w:proofErr w:type="spellStart"/>
            <w:r>
              <w:rPr>
                <w:sz w:val="16"/>
                <w:szCs w:val="16"/>
              </w:rPr>
              <w:t>proposition</w:t>
            </w:r>
            <w:proofErr w:type="spellEnd"/>
          </w:p>
        </w:tc>
        <w:tc>
          <w:tcPr>
            <w:tcW w:w="1484" w:type="dxa"/>
          </w:tcPr>
          <w:p w14:paraId="6D560CC6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Ценностное предложение / Ценностная установка / Предложение ценности</w:t>
            </w:r>
          </w:p>
        </w:tc>
        <w:tc>
          <w:tcPr>
            <w:tcW w:w="1299" w:type="dxa"/>
          </w:tcPr>
          <w:p w14:paraId="1934EC30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Ценностное предложение</w:t>
            </w:r>
          </w:p>
        </w:tc>
        <w:tc>
          <w:tcPr>
            <w:tcW w:w="1043" w:type="dxa"/>
          </w:tcPr>
          <w:p w14:paraId="1E55A26A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Вариативность</w:t>
            </w:r>
          </w:p>
        </w:tc>
      </w:tr>
      <w:tr w:rsidR="003844B2" w14:paraId="641EE22F" w14:textId="77777777" w:rsidTr="00B44E77">
        <w:trPr>
          <w:trHeight w:val="567"/>
        </w:trPr>
        <w:tc>
          <w:tcPr>
            <w:tcW w:w="1040" w:type="dxa"/>
          </w:tcPr>
          <w:p w14:paraId="1CF2EC6B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Dynamic </w:t>
            </w:r>
            <w:proofErr w:type="spellStart"/>
            <w:r>
              <w:rPr>
                <w:sz w:val="16"/>
                <w:szCs w:val="16"/>
              </w:rPr>
              <w:t>capabilities</w:t>
            </w:r>
            <w:proofErr w:type="spellEnd"/>
          </w:p>
        </w:tc>
        <w:tc>
          <w:tcPr>
            <w:tcW w:w="1484" w:type="dxa"/>
          </w:tcPr>
          <w:p w14:paraId="2E64743A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Динамические способности / Динамические компетенции / Динамический потенциал</w:t>
            </w:r>
          </w:p>
        </w:tc>
        <w:tc>
          <w:tcPr>
            <w:tcW w:w="1299" w:type="dxa"/>
          </w:tcPr>
          <w:p w14:paraId="5ECBA71E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Динамические способности</w:t>
            </w:r>
          </w:p>
        </w:tc>
        <w:tc>
          <w:tcPr>
            <w:tcW w:w="1043" w:type="dxa"/>
          </w:tcPr>
          <w:p w14:paraId="45D6FFC4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Редукция</w:t>
            </w:r>
          </w:p>
        </w:tc>
      </w:tr>
      <w:tr w:rsidR="003844B2" w14:paraId="42C6ED42" w14:textId="77777777" w:rsidTr="00B44E77">
        <w:trPr>
          <w:trHeight w:val="567"/>
        </w:trPr>
        <w:tc>
          <w:tcPr>
            <w:tcW w:w="1040" w:type="dxa"/>
          </w:tcPr>
          <w:p w14:paraId="0FD81911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Platform </w:t>
            </w:r>
            <w:proofErr w:type="spellStart"/>
            <w:r>
              <w:rPr>
                <w:sz w:val="16"/>
                <w:szCs w:val="16"/>
              </w:rPr>
              <w:t>ecosystem</w:t>
            </w:r>
            <w:proofErr w:type="spellEnd"/>
          </w:p>
        </w:tc>
        <w:tc>
          <w:tcPr>
            <w:tcW w:w="1484" w:type="dxa"/>
          </w:tcPr>
          <w:p w14:paraId="70465B8B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Платформенная экосистема / Экосистема платформы / Цифровая платформа</w:t>
            </w:r>
          </w:p>
        </w:tc>
        <w:tc>
          <w:tcPr>
            <w:tcW w:w="1299" w:type="dxa"/>
          </w:tcPr>
          <w:p w14:paraId="5632D071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Платформенная экосистема</w:t>
            </w:r>
          </w:p>
        </w:tc>
        <w:tc>
          <w:tcPr>
            <w:tcW w:w="1043" w:type="dxa"/>
          </w:tcPr>
          <w:p w14:paraId="76735D15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Вариативность</w:t>
            </w:r>
          </w:p>
        </w:tc>
      </w:tr>
      <w:tr w:rsidR="003844B2" w14:paraId="4D928DD8" w14:textId="77777777" w:rsidTr="00B44E77">
        <w:trPr>
          <w:trHeight w:val="567"/>
        </w:trPr>
        <w:tc>
          <w:tcPr>
            <w:tcW w:w="1040" w:type="dxa"/>
          </w:tcPr>
          <w:p w14:paraId="6488D5EA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Business </w:t>
            </w:r>
            <w:proofErr w:type="spellStart"/>
            <w:r>
              <w:rPr>
                <w:sz w:val="16"/>
                <w:szCs w:val="16"/>
              </w:rPr>
              <w:t>model</w:t>
            </w:r>
            <w:proofErr w:type="spellEnd"/>
            <w:r>
              <w:rPr>
                <w:sz w:val="16"/>
                <w:szCs w:val="16"/>
              </w:rPr>
              <w:t xml:space="preserve"> </w:t>
            </w:r>
            <w:proofErr w:type="spellStart"/>
            <w:r>
              <w:rPr>
                <w:sz w:val="16"/>
                <w:szCs w:val="16"/>
              </w:rPr>
              <w:t>innovation</w:t>
            </w:r>
            <w:proofErr w:type="spellEnd"/>
          </w:p>
        </w:tc>
        <w:tc>
          <w:tcPr>
            <w:tcW w:w="1484" w:type="dxa"/>
          </w:tcPr>
          <w:p w14:paraId="70836326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Инновация бизнес-модели / Инновационная бизнес-модель / Обновление модели</w:t>
            </w:r>
          </w:p>
        </w:tc>
        <w:tc>
          <w:tcPr>
            <w:tcW w:w="1299" w:type="dxa"/>
          </w:tcPr>
          <w:p w14:paraId="7B7F8D48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Инновация бизнес-модели</w:t>
            </w:r>
          </w:p>
        </w:tc>
        <w:tc>
          <w:tcPr>
            <w:tcW w:w="1043" w:type="dxa"/>
          </w:tcPr>
          <w:p w14:paraId="675BF352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Вариативность</w:t>
            </w:r>
          </w:p>
        </w:tc>
      </w:tr>
      <w:tr w:rsidR="003844B2" w14:paraId="7A697DD2" w14:textId="77777777" w:rsidTr="00B44E77">
        <w:trPr>
          <w:trHeight w:val="567"/>
        </w:trPr>
        <w:tc>
          <w:tcPr>
            <w:tcW w:w="1040" w:type="dxa"/>
          </w:tcPr>
          <w:p w14:paraId="0A587761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Resilience</w:t>
            </w:r>
            <w:proofErr w:type="spellEnd"/>
          </w:p>
        </w:tc>
        <w:tc>
          <w:tcPr>
            <w:tcW w:w="1484" w:type="dxa"/>
          </w:tcPr>
          <w:p w14:paraId="7EE88AE4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Устойчивость / Жизнеспособность / Отказоустойчивость / </w:t>
            </w:r>
            <w:proofErr w:type="spellStart"/>
            <w:r>
              <w:rPr>
                <w:sz w:val="16"/>
                <w:szCs w:val="16"/>
              </w:rPr>
              <w:t>Резилиентность</w:t>
            </w:r>
            <w:proofErr w:type="spellEnd"/>
          </w:p>
        </w:tc>
        <w:tc>
          <w:tcPr>
            <w:tcW w:w="1299" w:type="dxa"/>
          </w:tcPr>
          <w:p w14:paraId="3A25580C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Резилиентность</w:t>
            </w:r>
            <w:proofErr w:type="spellEnd"/>
            <w:r>
              <w:rPr>
                <w:sz w:val="16"/>
                <w:szCs w:val="16"/>
              </w:rPr>
              <w:t xml:space="preserve"> (с пояснением)</w:t>
            </w:r>
          </w:p>
        </w:tc>
        <w:tc>
          <w:tcPr>
            <w:tcW w:w="1043" w:type="dxa"/>
          </w:tcPr>
          <w:p w14:paraId="45AF8AB8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Лакуна</w:t>
            </w:r>
          </w:p>
        </w:tc>
      </w:tr>
      <w:tr w:rsidR="003844B2" w14:paraId="013B1346" w14:textId="77777777" w:rsidTr="00B44E77">
        <w:trPr>
          <w:trHeight w:val="567"/>
        </w:trPr>
        <w:tc>
          <w:tcPr>
            <w:tcW w:w="1040" w:type="dxa"/>
          </w:tcPr>
          <w:p w14:paraId="3C0CDE58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Coopetition</w:t>
            </w:r>
            <w:proofErr w:type="spellEnd"/>
          </w:p>
        </w:tc>
        <w:tc>
          <w:tcPr>
            <w:tcW w:w="1484" w:type="dxa"/>
          </w:tcPr>
          <w:p w14:paraId="54BAB5F3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Коопетиция</w:t>
            </w:r>
            <w:proofErr w:type="spellEnd"/>
            <w:r>
              <w:rPr>
                <w:sz w:val="16"/>
                <w:szCs w:val="16"/>
              </w:rPr>
              <w:t xml:space="preserve"> / Конкурентное сотрудничество / Сотрудничество-конкуренция</w:t>
            </w:r>
          </w:p>
        </w:tc>
        <w:tc>
          <w:tcPr>
            <w:tcW w:w="1299" w:type="dxa"/>
          </w:tcPr>
          <w:p w14:paraId="19E31F45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Коопетиция</w:t>
            </w:r>
            <w:proofErr w:type="spellEnd"/>
          </w:p>
        </w:tc>
        <w:tc>
          <w:tcPr>
            <w:tcW w:w="1043" w:type="dxa"/>
          </w:tcPr>
          <w:p w14:paraId="39335470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Лакуна</w:t>
            </w:r>
          </w:p>
        </w:tc>
      </w:tr>
      <w:tr w:rsidR="003844B2" w14:paraId="2197E24E" w14:textId="77777777" w:rsidTr="00B44E77">
        <w:trPr>
          <w:trHeight w:val="567"/>
        </w:trPr>
        <w:tc>
          <w:tcPr>
            <w:tcW w:w="1040" w:type="dxa"/>
          </w:tcPr>
          <w:p w14:paraId="525F1BF3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Scalability</w:t>
            </w:r>
            <w:proofErr w:type="spellEnd"/>
          </w:p>
        </w:tc>
        <w:tc>
          <w:tcPr>
            <w:tcW w:w="1484" w:type="dxa"/>
          </w:tcPr>
          <w:p w14:paraId="25C029F9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Масштабируемость / Масштабность / Масштабный потенциал</w:t>
            </w:r>
          </w:p>
        </w:tc>
        <w:tc>
          <w:tcPr>
            <w:tcW w:w="1299" w:type="dxa"/>
          </w:tcPr>
          <w:p w14:paraId="5816FB97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Масштабируемость</w:t>
            </w:r>
          </w:p>
        </w:tc>
        <w:tc>
          <w:tcPr>
            <w:tcW w:w="1043" w:type="dxa"/>
          </w:tcPr>
          <w:p w14:paraId="04BEAA4C" w14:textId="77777777" w:rsidR="003844B2" w:rsidRDefault="0025591C" w:rsidP="00B44E77">
            <w:pPr>
              <w:spacing w:after="120"/>
              <w:ind w:left="-57" w:right="-57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Вариативность</w:t>
            </w:r>
          </w:p>
        </w:tc>
      </w:tr>
    </w:tbl>
    <w:p w14:paraId="5E053879" w14:textId="77777777" w:rsidR="00B44E77" w:rsidRDefault="00B44E77" w:rsidP="00B44E77">
      <w:pPr>
        <w:pStyle w:val="a3"/>
        <w:spacing w:before="120"/>
      </w:pPr>
    </w:p>
    <w:p w14:paraId="2A8A31F9" w14:textId="26CA93C9" w:rsidR="003844B2" w:rsidRDefault="0025591C" w:rsidP="00B44E77">
      <w:pPr>
        <w:pStyle w:val="a3"/>
        <w:spacing w:before="120"/>
      </w:pPr>
      <w:r>
        <w:lastRenderedPageBreak/>
        <w:t>Для наглядного представления взаимосвязей между выявленными термина</w:t>
      </w:r>
      <w:r w:rsidR="00B44E77">
        <w:t>ми построена сеть понятий (рис. </w:t>
      </w:r>
      <w:r>
        <w:t>1). Узлы сети отражают термины, сгруппированные по уровню концептуальной близости к ядровому понятию «адаптивная бизнес-модель»; толщина рёбер соответствует интенсивности совместного употребления в анализируемых источниках [1–3].</w:t>
      </w:r>
    </w:p>
    <w:p w14:paraId="2846ABEB" w14:textId="77777777" w:rsidR="00B44E77" w:rsidRDefault="0025591C" w:rsidP="00B44E77">
      <w:pPr>
        <w:spacing w:after="120" w:line="228" w:lineRule="auto"/>
        <w:jc w:val="both"/>
        <w:rPr>
          <w:i/>
          <w:iCs/>
        </w:rPr>
      </w:pPr>
      <w:r>
        <w:rPr>
          <w:noProof/>
        </w:rPr>
        <w:drawing>
          <wp:inline distT="0" distB="0" distL="0" distR="0" wp14:anchorId="48B47571" wp14:editId="4E0A5428">
            <wp:extent cx="3096260" cy="230060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6260" cy="23006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519ED1" w14:textId="158AE42F" w:rsidR="00B44E77" w:rsidRDefault="00B44E77" w:rsidP="00B44E77">
      <w:pPr>
        <w:pStyle w:val="a"/>
      </w:pPr>
      <w:r>
        <w:t>Сеть терминов адаптивной бизнес-модели)</w:t>
      </w:r>
      <w:r>
        <w:br/>
        <w:t xml:space="preserve">(Составлено автором на основе: </w:t>
      </w:r>
      <w:proofErr w:type="spellStart"/>
      <w:r>
        <w:t>Teece</w:t>
      </w:r>
      <w:proofErr w:type="spellEnd"/>
      <w:r>
        <w:t xml:space="preserve">, 1997; </w:t>
      </w:r>
      <w:proofErr w:type="spellStart"/>
      <w:r>
        <w:t>Osterwalder</w:t>
      </w:r>
      <w:proofErr w:type="spellEnd"/>
      <w:r>
        <w:t xml:space="preserve"> &amp; </w:t>
      </w:r>
      <w:proofErr w:type="spellStart"/>
      <w:r>
        <w:t>Pigneur</w:t>
      </w:r>
      <w:proofErr w:type="spellEnd"/>
      <w:r>
        <w:t xml:space="preserve">, 2010; </w:t>
      </w:r>
      <w:proofErr w:type="spellStart"/>
      <w:r>
        <w:t>Zott</w:t>
      </w:r>
      <w:proofErr w:type="spellEnd"/>
      <w:r>
        <w:t xml:space="preserve"> &amp; </w:t>
      </w:r>
      <w:proofErr w:type="spellStart"/>
      <w:r>
        <w:t>Amit</w:t>
      </w:r>
      <w:proofErr w:type="spellEnd"/>
      <w:r>
        <w:t xml:space="preserve">, 2010; </w:t>
      </w:r>
      <w:proofErr w:type="spellStart"/>
      <w:r>
        <w:t>Adner</w:t>
      </w:r>
      <w:proofErr w:type="spellEnd"/>
      <w:r>
        <w:t>, 2017</w:t>
      </w:r>
    </w:p>
    <w:p w14:paraId="476F6E64" w14:textId="77777777" w:rsidR="003844B2" w:rsidRDefault="0025591C" w:rsidP="00B44E77">
      <w:pPr>
        <w:pStyle w:val="2"/>
      </w:pPr>
      <w:r>
        <w:t>Детальный разбор критических случаев</w:t>
      </w:r>
    </w:p>
    <w:p w14:paraId="18EADBC1" w14:textId="0C60ACDA" w:rsidR="003844B2" w:rsidRDefault="0025591C" w:rsidP="00B44E77">
      <w:pPr>
        <w:pStyle w:val="a3"/>
      </w:pPr>
      <w:r>
        <w:rPr>
          <w:b/>
          <w:bCs/>
        </w:rPr>
        <w:t xml:space="preserve">Dynamic </w:t>
      </w:r>
      <w:proofErr w:type="spellStart"/>
      <w:r>
        <w:rPr>
          <w:b/>
          <w:bCs/>
        </w:rPr>
        <w:t>capabilities</w:t>
      </w:r>
      <w:proofErr w:type="spellEnd"/>
      <w:r>
        <w:rPr>
          <w:b/>
          <w:bCs/>
        </w:rPr>
        <w:t xml:space="preserve">. </w:t>
      </w:r>
      <w:r>
        <w:t xml:space="preserve">Концепция Тиса, Пизано и </w:t>
      </w:r>
      <w:proofErr w:type="spellStart"/>
      <w:r>
        <w:t>Шуэна</w:t>
      </w:r>
      <w:proofErr w:type="spellEnd"/>
      <w:r>
        <w:t xml:space="preserve"> описывает способность организации целенаправленно интегрировать, формировать и реконфигурировать внутренние и внешние компетенции в ответ на быстро меняющуюся среду [1]. В русскоязычных источниках преобладает перевод «динамические компетенции», что смещает акцент с организационного уровня на индивидуальный. Перевод «динамические способности» точнее отражает оригинальный смысл, однако встречается лишь в 34% проанализированных источников [8].</w:t>
      </w:r>
    </w:p>
    <w:p w14:paraId="04FD4466" w14:textId="2497E635" w:rsidR="003844B2" w:rsidRDefault="0025591C">
      <w:pPr>
        <w:spacing w:after="120" w:line="228" w:lineRule="auto"/>
        <w:ind w:firstLine="289"/>
        <w:jc w:val="both"/>
      </w:pPr>
      <w:proofErr w:type="spellStart"/>
      <w:r>
        <w:rPr>
          <w:b/>
          <w:bCs/>
        </w:rPr>
        <w:t>Resilience</w:t>
      </w:r>
      <w:proofErr w:type="spellEnd"/>
      <w:r>
        <w:rPr>
          <w:b/>
          <w:bCs/>
        </w:rPr>
        <w:t>.</w:t>
      </w:r>
      <w:r w:rsidR="00B44E77">
        <w:t xml:space="preserve"> </w:t>
      </w:r>
      <w:r>
        <w:t>Термин не имеет однозначного русского эквивалента и в разных источниках передаётся как «устойчивость», «надёжность», «живучесть» или «отказоустойчивость». Все эти варианты несут иные коннотации: «устойчивость» в русской академической традиции ассоциируется с теорией устойчивости Ляпунова, а не с организационной способностью к восстановлению [9]. Для устранения лакуны предлагается транслитерация «</w:t>
      </w:r>
      <w:proofErr w:type="spellStart"/>
      <w:r>
        <w:t>резилиентность</w:t>
      </w:r>
      <w:proofErr w:type="spellEnd"/>
      <w:r>
        <w:t xml:space="preserve">» с обязательным </w:t>
      </w:r>
      <w:proofErr w:type="spellStart"/>
      <w:r>
        <w:t>операциональным</w:t>
      </w:r>
      <w:proofErr w:type="spellEnd"/>
      <w:r>
        <w:t xml:space="preserve"> определением при первом употреблении. </w:t>
      </w:r>
    </w:p>
    <w:p w14:paraId="0335A2E6" w14:textId="3EB4DBAA" w:rsidR="003844B2" w:rsidRDefault="0025591C" w:rsidP="00B44E77">
      <w:pPr>
        <w:pStyle w:val="a3"/>
      </w:pPr>
      <w:r>
        <w:rPr>
          <w:b/>
          <w:bCs/>
        </w:rPr>
        <w:t xml:space="preserve">Platform </w:t>
      </w:r>
      <w:proofErr w:type="spellStart"/>
      <w:r>
        <w:rPr>
          <w:b/>
          <w:bCs/>
        </w:rPr>
        <w:t>ecosystem</w:t>
      </w:r>
      <w:proofErr w:type="spellEnd"/>
      <w:r>
        <w:rPr>
          <w:b/>
          <w:bCs/>
        </w:rPr>
        <w:t>.</w:t>
      </w:r>
      <w:r w:rsidR="00B44E77">
        <w:t xml:space="preserve"> </w:t>
      </w:r>
      <w:r>
        <w:t xml:space="preserve">Сочетание «экосистема платформы» акцентирует принадлежность, тогда как «платформенная экосистема» подчёркивает системное качество самого феномена. Именно последний вариант концептуально точнее передаёт оригинальный смысл и рекомендуется к употреблению в научных текстах. </w:t>
      </w:r>
    </w:p>
    <w:p w14:paraId="3BB6FA9E" w14:textId="77777777" w:rsidR="003844B2" w:rsidRDefault="0025591C" w:rsidP="00B44E77">
      <w:pPr>
        <w:pStyle w:val="a3"/>
      </w:pPr>
      <w:r>
        <w:t xml:space="preserve">Иерархическая структура выявленных терминов по уровням абстракции представлена в пирамиде (рис. 2). Вершина соответствует </w:t>
      </w:r>
      <w:proofErr w:type="spellStart"/>
      <w:r>
        <w:t>метауровню</w:t>
      </w:r>
      <w:proofErr w:type="spellEnd"/>
      <w:r>
        <w:t xml:space="preserve"> цифровой экономики как наиболее широкому контексту, основание – конкретным инструментальным понятиям, непосредственно </w:t>
      </w:r>
      <w:proofErr w:type="spellStart"/>
      <w:r>
        <w:t>операционализируемым</w:t>
      </w:r>
      <w:proofErr w:type="spellEnd"/>
      <w:r>
        <w:t xml:space="preserve"> в практике управления.</w:t>
      </w:r>
    </w:p>
    <w:p w14:paraId="5FFB005B" w14:textId="77777777" w:rsidR="003844B2" w:rsidRDefault="0025591C" w:rsidP="00B44E77">
      <w:pPr>
        <w:spacing w:after="120" w:line="228" w:lineRule="auto"/>
        <w:jc w:val="both"/>
      </w:pPr>
      <w:r>
        <w:rPr>
          <w:noProof/>
        </w:rPr>
        <w:drawing>
          <wp:inline distT="0" distB="0" distL="0" distR="0" wp14:anchorId="7D4B4FC7" wp14:editId="75DFD61B">
            <wp:extent cx="3082636" cy="1821873"/>
            <wp:effectExtent l="0" t="0" r="3810" b="6985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9"/>
                    <a:srcRect l="3127" t="1" r="4112" b="4015"/>
                    <a:stretch/>
                  </pic:blipFill>
                  <pic:spPr bwMode="auto">
                    <a:xfrm>
                      <a:off x="0" y="0"/>
                      <a:ext cx="3087057" cy="1824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9AF2ED" w14:textId="05E6CAEB" w:rsidR="00B44E77" w:rsidRDefault="00B44E77" w:rsidP="00B44E77">
      <w:pPr>
        <w:pStyle w:val="a"/>
      </w:pPr>
      <w:r>
        <w:t>Пирамида терминов адаптивной бизнес-модели)</w:t>
      </w:r>
      <w:r>
        <w:br/>
        <w:t xml:space="preserve">(Составлено автором на основе: </w:t>
      </w:r>
      <w:proofErr w:type="spellStart"/>
      <w:r>
        <w:t>Teece</w:t>
      </w:r>
      <w:proofErr w:type="spellEnd"/>
      <w:r>
        <w:t xml:space="preserve">, 1997; </w:t>
      </w:r>
      <w:proofErr w:type="spellStart"/>
      <w:r>
        <w:t>Osterwalder</w:t>
      </w:r>
      <w:proofErr w:type="spellEnd"/>
      <w:r>
        <w:t xml:space="preserve"> &amp; </w:t>
      </w:r>
      <w:proofErr w:type="spellStart"/>
      <w:r>
        <w:t>Pigneur</w:t>
      </w:r>
      <w:proofErr w:type="spellEnd"/>
      <w:r>
        <w:t xml:space="preserve">, 2010; </w:t>
      </w:r>
      <w:proofErr w:type="spellStart"/>
      <w:r>
        <w:t>Adner</w:t>
      </w:r>
      <w:proofErr w:type="spellEnd"/>
      <w:r>
        <w:t>, 2017</w:t>
      </w:r>
    </w:p>
    <w:p w14:paraId="3B4980F2" w14:textId="72673786" w:rsidR="003844B2" w:rsidRDefault="0025591C">
      <w:pPr>
        <w:pStyle w:val="1"/>
        <w:numPr>
          <w:ilvl w:val="0"/>
          <w:numId w:val="1"/>
        </w:numPr>
      </w:pPr>
      <w:r>
        <w:t xml:space="preserve">Последствия языкового разрыва </w:t>
      </w:r>
    </w:p>
    <w:p w14:paraId="0DE48E3F" w14:textId="072AEC9D" w:rsidR="003844B2" w:rsidRDefault="0025591C" w:rsidP="00B44E77">
      <w:pPr>
        <w:pStyle w:val="a3"/>
      </w:pPr>
      <w:r>
        <w:t>Языковой разрыв оказывает прямое воздействие на три взаимосвязанные сферы. В области</w:t>
      </w:r>
      <w:r w:rsidR="00B44E77">
        <w:t xml:space="preserve"> </w:t>
      </w:r>
      <w:r>
        <w:t>научной коммуникации</w:t>
      </w:r>
      <w:r w:rsidR="00B44E77">
        <w:t xml:space="preserve"> </w:t>
      </w:r>
      <w:r>
        <w:t xml:space="preserve">цитирование одного и того же концепта под разными терминами затрудняет </w:t>
      </w:r>
      <w:proofErr w:type="spellStart"/>
      <w:r>
        <w:t>библиометрический</w:t>
      </w:r>
      <w:proofErr w:type="spellEnd"/>
      <w:r>
        <w:t xml:space="preserve"> анализ и формирование научных школ: работы по «адаптивным бизнес-моделям» и «гибким моделям бизнеса» практически не перекрещиваются в списках литературы РИНЦ, несмотря на идентичный предмет исследования [7, 8]</w:t>
      </w:r>
    </w:p>
    <w:p w14:paraId="1431C18F" w14:textId="77777777" w:rsidR="003844B2" w:rsidRDefault="0025591C" w:rsidP="00B44E77">
      <w:pPr>
        <w:pStyle w:val="a3"/>
      </w:pPr>
      <w:r>
        <w:t>В сфере практического применения управленческие консультанты и менеджеры цифровой трансформации, опираясь на переводные учебники, оперируют редуцированными концепциями. Это снижает качество стратегических решений и затрудняет внедрение международно признанных управленческих инструментов в российскую практику.</w:t>
      </w:r>
    </w:p>
    <w:p w14:paraId="53DB470A" w14:textId="7950C944" w:rsidR="003844B2" w:rsidRDefault="0025591C">
      <w:pPr>
        <w:pBdr>
          <w:top w:val="nil"/>
          <w:left w:val="nil"/>
          <w:bottom w:val="nil"/>
          <w:right w:val="nil"/>
          <w:between w:val="nil"/>
        </w:pBdr>
        <w:tabs>
          <w:tab w:val="left" w:pos="288"/>
        </w:tabs>
        <w:spacing w:after="120" w:line="228" w:lineRule="auto"/>
        <w:ind w:firstLine="289"/>
        <w:jc w:val="both"/>
        <w:rPr>
          <w:color w:val="000000"/>
        </w:rPr>
      </w:pPr>
      <w:r>
        <w:rPr>
          <w:color w:val="000000"/>
        </w:rPr>
        <w:t>В области</w:t>
      </w:r>
      <w:r w:rsidR="00B44E77">
        <w:rPr>
          <w:color w:val="000000"/>
        </w:rPr>
        <w:t xml:space="preserve"> </w:t>
      </w:r>
      <w:r>
        <w:rPr>
          <w:color w:val="000000"/>
        </w:rPr>
        <w:t>образования</w:t>
      </w:r>
      <w:r w:rsidR="00B44E77">
        <w:rPr>
          <w:color w:val="000000"/>
        </w:rPr>
        <w:t xml:space="preserve"> </w:t>
      </w:r>
      <w:r>
        <w:rPr>
          <w:color w:val="000000"/>
        </w:rPr>
        <w:t xml:space="preserve">студенты и аспиранты, получившие подготовку по русскоязычным учебникам, при чтении оригинальных работ испытывают концептуальный разрыв, тормозящий их интеграцию в международное научное сообщество. Особенно остро это проявляется при подготовке статей для изданий, индексируемых в </w:t>
      </w:r>
      <w:proofErr w:type="spellStart"/>
      <w:r>
        <w:rPr>
          <w:color w:val="000000"/>
        </w:rPr>
        <w:t>Scopus</w:t>
      </w:r>
      <w:proofErr w:type="spellEnd"/>
      <w:r>
        <w:rPr>
          <w:color w:val="000000"/>
        </w:rPr>
        <w:t xml:space="preserve"> и Web </w:t>
      </w:r>
      <w:proofErr w:type="spellStart"/>
      <w:r>
        <w:rPr>
          <w:color w:val="000000"/>
        </w:rPr>
        <w:t>of</w:t>
      </w:r>
      <w:proofErr w:type="spellEnd"/>
      <w:r>
        <w:rPr>
          <w:color w:val="000000"/>
        </w:rPr>
        <w:t xml:space="preserve"> Science, где требуется корректное употребление англоязычной терминологии.</w:t>
      </w:r>
    </w:p>
    <w:p w14:paraId="1E413E66" w14:textId="77777777" w:rsidR="003844B2" w:rsidRDefault="0025591C" w:rsidP="00B44E77">
      <w:pPr>
        <w:pStyle w:val="1"/>
      </w:pPr>
      <w:r>
        <w:t>Заключение</w:t>
      </w:r>
    </w:p>
    <w:p w14:paraId="48039AE2" w14:textId="3ACFA150" w:rsidR="003844B2" w:rsidRDefault="0025591C" w:rsidP="00B44E77">
      <w:pPr>
        <w:pStyle w:val="a3"/>
      </w:pPr>
      <w:r>
        <w:t>Проведённый критический обзор показал, что языковой разрыв в русскоязычных переводах концепций адаптивных бизнес-моделей носит системный характер и охватывает терминологическую вариативность, концептуальную редукцию и лексические лакуны. Наиболее критичными с точки зрения искажения смысла являются переводы понятий</w:t>
      </w:r>
      <w:r w:rsidR="00B44E77">
        <w:t xml:space="preserve"> </w:t>
      </w:r>
      <w:proofErr w:type="spellStart"/>
      <w:r>
        <w:rPr>
          <w:i/>
          <w:iCs/>
        </w:rPr>
        <w:t>dynamic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capabilities</w:t>
      </w:r>
      <w:proofErr w:type="spellEnd"/>
      <w:r w:rsidR="00B44E77">
        <w:t xml:space="preserve"> </w:t>
      </w:r>
      <w:r>
        <w:t>и</w:t>
      </w:r>
      <w:r w:rsidR="00B44E77">
        <w:t xml:space="preserve"> </w:t>
      </w:r>
      <w:proofErr w:type="spellStart"/>
      <w:r>
        <w:rPr>
          <w:i/>
          <w:iCs/>
        </w:rPr>
        <w:t>resilience</w:t>
      </w:r>
      <w:proofErr w:type="spellEnd"/>
      <w:r>
        <w:t>, затрагивающие теоретическое ядро дисциплины.</w:t>
      </w:r>
    </w:p>
    <w:p w14:paraId="4D59A30C" w14:textId="77777777" w:rsidR="003844B2" w:rsidRDefault="0025591C" w:rsidP="0025591C">
      <w:pPr>
        <w:pStyle w:val="a3"/>
      </w:pPr>
      <w:r>
        <w:t xml:space="preserve">Построенная сеть терминов (рис. 1) наглядно демонстрирует, что понятийное пространство адаптивных бизнес-моделей представляет собой связную систему взаимозависимых конструктов, неточный перевод любого из которых влечёт каскадные искажения смежных понятий [1–5]. Пирамида уровней абстракции (рис. 2) позволяет структурировать терминологическую работу: стандартизацию целесообразно начинать с ядровых понятий модельного и системного уровней, </w:t>
      </w:r>
      <w:r>
        <w:lastRenderedPageBreak/>
        <w:t xml:space="preserve">последовательно переходя к </w:t>
      </w:r>
      <w:proofErr w:type="spellStart"/>
      <w:r>
        <w:t>операциональным</w:t>
      </w:r>
      <w:proofErr w:type="spellEnd"/>
      <w:r>
        <w:t xml:space="preserve"> и инструментальным терминам.</w:t>
      </w:r>
    </w:p>
    <w:p w14:paraId="02D0E020" w14:textId="77777777" w:rsidR="003844B2" w:rsidRDefault="0025591C" w:rsidP="0025591C">
      <w:pPr>
        <w:pStyle w:val="a3"/>
        <w:rPr>
          <w:color w:val="000000"/>
        </w:rPr>
      </w:pPr>
      <w:r>
        <w:rPr>
          <w:color w:val="000000"/>
        </w:rPr>
        <w:t xml:space="preserve">В качестве практических рекомендаций предлагается: (1) в русскоязычных научных публикациях обязательно указывать оригинальный английский термин в скобках при первом употреблении; (2) разработать согласованный терминологический стандарт по аналогии с ГОСТ Р в области ИТ с привлечением экспертного сообщества ВАК; (3) включить раздел терминологической унификации в требования к диссертационным исследованиям по специальности 5.2.2. </w:t>
      </w:r>
    </w:p>
    <w:p w14:paraId="2232DA28" w14:textId="77777777" w:rsidR="003844B2" w:rsidRDefault="0025591C">
      <w:pPr>
        <w:pStyle w:val="5"/>
      </w:pPr>
      <w:r>
        <w:t>Список литературы</w:t>
      </w:r>
    </w:p>
    <w:p w14:paraId="13E802A8" w14:textId="0A5DD9DC" w:rsidR="003844B2" w:rsidRDefault="0025591C" w:rsidP="0025591C">
      <w:pPr>
        <w:pStyle w:val="a0"/>
      </w:pPr>
      <w:r w:rsidRPr="001C1345">
        <w:rPr>
          <w:lang w:val="en-US"/>
        </w:rPr>
        <w:t xml:space="preserve">Teece D.J., Pisano G., </w:t>
      </w:r>
      <w:proofErr w:type="spellStart"/>
      <w:r w:rsidRPr="001C1345">
        <w:rPr>
          <w:lang w:val="en-US"/>
        </w:rPr>
        <w:t>Shuen</w:t>
      </w:r>
      <w:proofErr w:type="spellEnd"/>
      <w:r w:rsidRPr="001C1345">
        <w:rPr>
          <w:lang w:val="en-US"/>
        </w:rPr>
        <w:t xml:space="preserve"> A. Dynamic capabilities and strategic management // Strategic Management Journal. </w:t>
      </w:r>
      <w:r>
        <w:t xml:space="preserve">1997. </w:t>
      </w:r>
      <w:proofErr w:type="spellStart"/>
      <w:r>
        <w:t>Vol</w:t>
      </w:r>
      <w:proofErr w:type="spellEnd"/>
      <w:r>
        <w:t>. 18, № 7. P. 509–533.</w:t>
      </w:r>
    </w:p>
    <w:p w14:paraId="46BAB482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Osterwalder A., Pigneur Y. Business Model Generation: A Handbook for Visionaries, Game Changers, and Challengers. </w:t>
      </w:r>
      <w:r>
        <w:t xml:space="preserve">New </w:t>
      </w:r>
      <w:proofErr w:type="spellStart"/>
      <w:r>
        <w:t>Jersey</w:t>
      </w:r>
      <w:proofErr w:type="spellEnd"/>
      <w:r>
        <w:t xml:space="preserve">: </w:t>
      </w:r>
      <w:proofErr w:type="spellStart"/>
      <w:r>
        <w:t>Wiley</w:t>
      </w:r>
      <w:proofErr w:type="spellEnd"/>
      <w:r>
        <w:t>, 2010. 288 p.</w:t>
      </w:r>
    </w:p>
    <w:p w14:paraId="03ABB207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Zott C., Amit R. Business model design: an activity system perspective // Long Range Planning. </w:t>
      </w:r>
      <w:r>
        <w:t xml:space="preserve">2010. </w:t>
      </w:r>
      <w:proofErr w:type="spellStart"/>
      <w:r>
        <w:t>Vol</w:t>
      </w:r>
      <w:proofErr w:type="spellEnd"/>
      <w:r>
        <w:t>. 43, № 2–3. P. 216–226.</w:t>
      </w:r>
    </w:p>
    <w:p w14:paraId="6CD95F00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Teece D.J. Business models and dynamic capabilities // Long Range Planning. </w:t>
      </w:r>
      <w:r>
        <w:t xml:space="preserve">2018. </w:t>
      </w:r>
      <w:proofErr w:type="spellStart"/>
      <w:r>
        <w:t>Vol</w:t>
      </w:r>
      <w:proofErr w:type="spellEnd"/>
      <w:r>
        <w:t>. 51, № 1. P. 40–49.</w:t>
      </w:r>
    </w:p>
    <w:p w14:paraId="6A1E867F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Adner R. Ecosystem as structure: an actionable construct for strategy // Journal of Management. </w:t>
      </w:r>
      <w:r>
        <w:t xml:space="preserve">2017. </w:t>
      </w:r>
      <w:proofErr w:type="spellStart"/>
      <w:r>
        <w:t>Vol</w:t>
      </w:r>
      <w:proofErr w:type="spellEnd"/>
      <w:r>
        <w:t>. 43, № 1. P. 39–58.</w:t>
      </w:r>
    </w:p>
    <w:p w14:paraId="301AADF3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Chesbrough H. Business model innovation: opportunities and barriers // Long Range Planning. </w:t>
      </w:r>
      <w:r>
        <w:t xml:space="preserve">2010. </w:t>
      </w:r>
      <w:proofErr w:type="spellStart"/>
      <w:r>
        <w:t>Vol</w:t>
      </w:r>
      <w:proofErr w:type="spellEnd"/>
      <w:r>
        <w:t>. 43, № 2–3. P. 354–363.</w:t>
      </w:r>
    </w:p>
    <w:p w14:paraId="0A9007C4" w14:textId="77777777" w:rsidR="003844B2" w:rsidRDefault="0025591C" w:rsidP="0025591C">
      <w:pPr>
        <w:pStyle w:val="a0"/>
      </w:pPr>
      <w:r w:rsidRPr="001C1345">
        <w:rPr>
          <w:lang w:val="en-US"/>
        </w:rPr>
        <w:t xml:space="preserve">Wirtz B.W., Pistoia A., Ullrich S., Göttel V. Business models: origin, development and future research perspectives // Long Range Planning. </w:t>
      </w:r>
      <w:r>
        <w:t xml:space="preserve">2016. </w:t>
      </w:r>
      <w:proofErr w:type="spellStart"/>
      <w:r>
        <w:t>Vol</w:t>
      </w:r>
      <w:proofErr w:type="spellEnd"/>
      <w:r>
        <w:t>. 49, № 1. P. 36–54.</w:t>
      </w:r>
    </w:p>
    <w:p w14:paraId="52869E6D" w14:textId="77777777" w:rsidR="003844B2" w:rsidRDefault="0025591C" w:rsidP="0025591C">
      <w:pPr>
        <w:pStyle w:val="a0"/>
      </w:pPr>
      <w:r>
        <w:t xml:space="preserve">Иванова Т.Н., Петров С.В. Проблемы перевода англоязычных концепций менеджмента // Вестник СПбГУ. Менеджмент. 2019. Т. 18, </w:t>
      </w:r>
      <w:proofErr w:type="spellStart"/>
      <w:r>
        <w:t>вып</w:t>
      </w:r>
      <w:proofErr w:type="spellEnd"/>
      <w:r>
        <w:t>. 3. С. 412–435.</w:t>
      </w:r>
    </w:p>
    <w:p w14:paraId="1178AC98" w14:textId="77777777" w:rsidR="003844B2" w:rsidRDefault="0025591C" w:rsidP="0025591C">
      <w:pPr>
        <w:pStyle w:val="a0"/>
      </w:pPr>
      <w:proofErr w:type="spellStart"/>
      <w:r>
        <w:t>Катькало</w:t>
      </w:r>
      <w:proofErr w:type="spellEnd"/>
      <w:r>
        <w:t xml:space="preserve"> В.С. Эволюция теории стратегического управления. СПб.: </w:t>
      </w:r>
      <w:proofErr w:type="spellStart"/>
      <w:r>
        <w:t>Издат</w:t>
      </w:r>
      <w:proofErr w:type="spellEnd"/>
      <w:r>
        <w:t>. дом СПбГУ, 2006. 548 с.</w:t>
      </w:r>
    </w:p>
    <w:p w14:paraId="5D81F365" w14:textId="77777777" w:rsidR="003844B2" w:rsidRDefault="0025591C" w:rsidP="0025591C">
      <w:pPr>
        <w:pStyle w:val="a0"/>
      </w:pPr>
      <w:r>
        <w:t>Клейнер Г.Б. Эволюция институциональных систем. М.: Наука, 2004. 240 с.</w:t>
      </w:r>
    </w:p>
    <w:p w14:paraId="6429F1BE" w14:textId="77777777" w:rsidR="0025591C" w:rsidRDefault="0025591C">
      <w:pPr>
        <w:sectPr w:rsidR="0025591C">
          <w:type w:val="continuous"/>
          <w:pgSz w:w="11906" w:h="16838"/>
          <w:pgMar w:top="907" w:right="907" w:bottom="1440" w:left="907" w:header="709" w:footer="709" w:gutter="0"/>
          <w:cols w:num="2" w:space="720" w:equalWidth="0">
            <w:col w:w="4875" w:space="340"/>
            <w:col w:w="4875" w:space="0"/>
          </w:cols>
        </w:sectPr>
      </w:pPr>
    </w:p>
    <w:p w14:paraId="5D636206" w14:textId="4A84CFEF" w:rsidR="003844B2" w:rsidRDefault="003844B2"/>
    <w:sectPr w:rsidR="003844B2" w:rsidSect="0025591C">
      <w:type w:val="continuous"/>
      <w:pgSz w:w="11906" w:h="16838"/>
      <w:pgMar w:top="907" w:right="907" w:bottom="1440" w:left="907" w:header="709" w:footer="709" w:gutter="0"/>
      <w:cols w:space="3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2415F4" w14:textId="77777777" w:rsidR="009817D0" w:rsidRDefault="009817D0" w:rsidP="009817D0">
      <w:r>
        <w:separator/>
      </w:r>
    </w:p>
  </w:endnote>
  <w:endnote w:type="continuationSeparator" w:id="0">
    <w:p w14:paraId="22B38E84" w14:textId="77777777" w:rsidR="009817D0" w:rsidRDefault="009817D0" w:rsidP="00981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A9577F47-F454-4551-A013-ED131A0CCC19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Italic r:id="rId2" w:fontKey="{7F88A683-4CCE-4657-9027-60459F13A720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3" w:fontKey="{9F466207-CC1B-4DDE-9476-7729CBD0019D}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4" w:fontKey="{773A7E4B-5745-417A-8B37-8AC74CC2476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12718274"/>
      <w:docPartObj>
        <w:docPartGallery w:val="Page Numbers (Bottom of Page)"/>
        <w:docPartUnique/>
      </w:docPartObj>
    </w:sdtPr>
    <w:sdtContent>
      <w:p w14:paraId="5F278806" w14:textId="16888223" w:rsidR="009817D0" w:rsidRDefault="009817D0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CD42C" w14:textId="77777777" w:rsidR="009817D0" w:rsidRDefault="009817D0" w:rsidP="009817D0">
      <w:r>
        <w:separator/>
      </w:r>
    </w:p>
  </w:footnote>
  <w:footnote w:type="continuationSeparator" w:id="0">
    <w:p w14:paraId="53856261" w14:textId="77777777" w:rsidR="009817D0" w:rsidRDefault="009817D0" w:rsidP="009817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907DC"/>
    <w:multiLevelType w:val="multilevel"/>
    <w:tmpl w:val="6C2AF438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39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12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2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D2438F"/>
    <w:multiLevelType w:val="multilevel"/>
    <w:tmpl w:val="FE4AEB86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4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5" w15:restartNumberingAfterBreak="0">
    <w:nsid w:val="444430B7"/>
    <w:multiLevelType w:val="multilevel"/>
    <w:tmpl w:val="2480C808"/>
    <w:lvl w:ilvl="0">
      <w:start w:val="1"/>
      <w:numFmt w:val="upperRoman"/>
      <w:lvlText w:val="%1."/>
      <w:lvlJc w:val="center"/>
      <w:pPr>
        <w:ind w:left="0" w:firstLine="216"/>
      </w:pPr>
      <w:rPr>
        <w:rFonts w:ascii="Times New Roman" w:eastAsia="Times New Roman" w:hAnsi="Times New Roman" w:cs="Times New Roman"/>
        <w:smallCaps w:val="0"/>
        <w:strike w:val="0"/>
        <w:color w:val="000000"/>
        <w:sz w:val="20"/>
        <w:szCs w:val="20"/>
        <w:vertAlign w:val="baseline"/>
      </w:rPr>
    </w:lvl>
    <w:lvl w:ilvl="1">
      <w:start w:val="1"/>
      <w:numFmt w:val="upperLetter"/>
      <w:lvlText w:val="%2."/>
      <w:lvlJc w:val="left"/>
      <w:pPr>
        <w:ind w:left="288" w:hanging="288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2">
      <w:start w:val="1"/>
      <w:numFmt w:val="decimal"/>
      <w:lvlText w:val="%3)"/>
      <w:lvlJc w:val="left"/>
      <w:pPr>
        <w:ind w:left="0" w:firstLine="18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z w:val="20"/>
        <w:szCs w:val="20"/>
        <w:vertAlign w:val="baseline"/>
      </w:rPr>
    </w:lvl>
    <w:lvl w:ilvl="3">
      <w:start w:val="1"/>
      <w:numFmt w:val="lowerLetter"/>
      <w:lvlText w:val="%4)"/>
      <w:lvlJc w:val="left"/>
      <w:pPr>
        <w:ind w:left="0" w:firstLine="360"/>
      </w:pPr>
      <w:rPr>
        <w:rFonts w:ascii="Times New Roman" w:eastAsia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decimal"/>
      <w:lvlText w:val=""/>
      <w:lvlJc w:val="left"/>
      <w:pPr>
        <w:ind w:left="2880" w:hanging="2880"/>
      </w:pPr>
    </w:lvl>
    <w:lvl w:ilvl="5">
      <w:start w:val="1"/>
      <w:numFmt w:val="lowerLetter"/>
      <w:lvlText w:val="(%6)"/>
      <w:lvlJc w:val="left"/>
      <w:pPr>
        <w:ind w:left="3600" w:hanging="3600"/>
      </w:pPr>
    </w:lvl>
    <w:lvl w:ilvl="6">
      <w:start w:val="1"/>
      <w:numFmt w:val="lowerRoman"/>
      <w:lvlText w:val="(%7)"/>
      <w:lvlJc w:val="left"/>
      <w:pPr>
        <w:ind w:left="4320" w:hanging="4320"/>
      </w:pPr>
    </w:lvl>
    <w:lvl w:ilvl="7">
      <w:start w:val="1"/>
      <w:numFmt w:val="lowerLetter"/>
      <w:lvlText w:val="(%8)"/>
      <w:lvlJc w:val="left"/>
      <w:pPr>
        <w:ind w:left="5040" w:hanging="5040"/>
      </w:pPr>
    </w:lvl>
    <w:lvl w:ilvl="8">
      <w:start w:val="1"/>
      <w:numFmt w:val="lowerRoman"/>
      <w:lvlText w:val="(%9)"/>
      <w:lvlJc w:val="left"/>
      <w:pPr>
        <w:ind w:left="5760" w:hanging="5760"/>
      </w:pPr>
    </w:lvl>
  </w:abstractNum>
  <w:abstractNum w:abstractNumId="6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E657E6"/>
    <w:multiLevelType w:val="multilevel"/>
    <w:tmpl w:val="D466F98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start w:val="1"/>
      <w:numFmt w:val="decimal"/>
      <w:lvlText w:val="%9."/>
      <w:lvlJc w:val="left"/>
      <w:pPr>
        <w:ind w:left="6120" w:hanging="360"/>
      </w:pPr>
    </w:lvl>
  </w:abstractNum>
  <w:abstractNum w:abstractNumId="8" w15:restartNumberingAfterBreak="0">
    <w:nsid w:val="6756211D"/>
    <w:multiLevelType w:val="multilevel"/>
    <w:tmpl w:val="F85460CE"/>
    <w:lvl w:ilvl="0">
      <w:start w:val="1"/>
      <w:numFmt w:val="decimal"/>
      <w:lvlText w:val="[%1]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5098728">
    <w:abstractNumId w:val="5"/>
  </w:num>
  <w:num w:numId="2" w16cid:durableId="2139030635">
    <w:abstractNumId w:val="3"/>
  </w:num>
  <w:num w:numId="3" w16cid:durableId="1877740745">
    <w:abstractNumId w:val="8"/>
  </w:num>
  <w:num w:numId="4" w16cid:durableId="1954944417">
    <w:abstractNumId w:val="0"/>
  </w:num>
  <w:num w:numId="5" w16cid:durableId="1499728402">
    <w:abstractNumId w:val="7"/>
  </w:num>
  <w:num w:numId="6" w16cid:durableId="1051728175">
    <w:abstractNumId w:val="4"/>
  </w:num>
  <w:num w:numId="7" w16cid:durableId="1164395504">
    <w:abstractNumId w:val="4"/>
  </w:num>
  <w:num w:numId="8" w16cid:durableId="65762910">
    <w:abstractNumId w:val="4"/>
  </w:num>
  <w:num w:numId="9" w16cid:durableId="873465428">
    <w:abstractNumId w:val="4"/>
  </w:num>
  <w:num w:numId="10" w16cid:durableId="1737775089">
    <w:abstractNumId w:val="2"/>
  </w:num>
  <w:num w:numId="11" w16cid:durableId="555705298">
    <w:abstractNumId w:val="6"/>
  </w:num>
  <w:num w:numId="12" w16cid:durableId="33817984">
    <w:abstractNumId w:val="1"/>
  </w:num>
  <w:num w:numId="13" w16cid:durableId="1932706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B2"/>
    <w:rsid w:val="001C1345"/>
    <w:rsid w:val="0025591C"/>
    <w:rsid w:val="003844B2"/>
    <w:rsid w:val="009817D0"/>
    <w:rsid w:val="00B44E77"/>
    <w:rsid w:val="00E34510"/>
    <w:rsid w:val="00E94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4F514"/>
  <w15:docId w15:val="{2EEF87D1-88B1-4FD6-A3F5-3144B9C83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0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B44E77"/>
    <w:pPr>
      <w:suppressAutoHyphens/>
    </w:pPr>
    <w:rPr>
      <w:lang w:val="ru-RU" w:eastAsia="en-US"/>
    </w:rPr>
  </w:style>
  <w:style w:type="paragraph" w:styleId="1">
    <w:name w:val="heading 1"/>
    <w:basedOn w:val="a2"/>
    <w:next w:val="a3"/>
    <w:link w:val="10"/>
    <w:qFormat/>
    <w:rsid w:val="00B44E77"/>
    <w:pPr>
      <w:keepNext/>
      <w:keepLines/>
      <w:numPr>
        <w:numId w:val="9"/>
      </w:numPr>
      <w:tabs>
        <w:tab w:val="left" w:pos="425"/>
      </w:tabs>
      <w:suppressAutoHyphens w:val="0"/>
      <w:spacing w:before="160" w:after="80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44E77"/>
    <w:pPr>
      <w:keepNext/>
      <w:keepLines/>
      <w:numPr>
        <w:ilvl w:val="1"/>
        <w:numId w:val="9"/>
      </w:numPr>
      <w:suppressAutoHyphens w:val="0"/>
      <w:spacing w:before="120" w:after="60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rsid w:val="00B44E77"/>
    <w:pPr>
      <w:numPr>
        <w:ilvl w:val="2"/>
        <w:numId w:val="9"/>
      </w:numPr>
      <w:tabs>
        <w:tab w:val="left" w:pos="720"/>
      </w:tabs>
      <w:suppressAutoHyphens w:val="0"/>
      <w:spacing w:after="60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rsid w:val="00B44E77"/>
    <w:pPr>
      <w:numPr>
        <w:ilvl w:val="3"/>
        <w:numId w:val="9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B44E77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B44E77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7">
    <w:name w:val="Title"/>
    <w:basedOn w:val="a2"/>
    <w:next w:val="a2"/>
    <w:link w:val="a8"/>
    <w:qFormat/>
    <w:rsid w:val="00B44E77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paragraph" w:styleId="a9">
    <w:name w:val="Subtitle"/>
    <w:basedOn w:val="a2"/>
    <w:next w:val="a2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Авторы"/>
    <w:basedOn w:val="a2"/>
    <w:next w:val="a2"/>
    <w:qFormat/>
    <w:rsid w:val="00B44E77"/>
    <w:pPr>
      <w:spacing w:before="240" w:after="80"/>
      <w:jc w:val="center"/>
    </w:pPr>
    <w:rPr>
      <w:sz w:val="24"/>
    </w:rPr>
  </w:style>
  <w:style w:type="paragraph" w:customStyle="1" w:styleId="ac">
    <w:name w:val="Организация"/>
    <w:basedOn w:val="a2"/>
    <w:qFormat/>
    <w:rsid w:val="00B44E77"/>
    <w:pPr>
      <w:spacing w:after="80"/>
      <w:jc w:val="center"/>
    </w:pPr>
    <w:rPr>
      <w:i/>
      <w:sz w:val="22"/>
    </w:rPr>
  </w:style>
  <w:style w:type="paragraph" w:customStyle="1" w:styleId="ad">
    <w:name w:val="Аннотация"/>
    <w:basedOn w:val="ac"/>
    <w:qFormat/>
    <w:rsid w:val="00B44E77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B44E77"/>
    <w:rPr>
      <w:rFonts w:eastAsia="SimSun"/>
      <w:smallCaps/>
      <w:noProof/>
      <w:lang w:val="ru-RU" w:eastAsia="en-US"/>
    </w:rPr>
  </w:style>
  <w:style w:type="paragraph" w:styleId="a3">
    <w:name w:val="Body Text"/>
    <w:basedOn w:val="a2"/>
    <w:link w:val="ae"/>
    <w:rsid w:val="00B44E77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e">
    <w:name w:val="Основной текст Знак"/>
    <w:link w:val="a3"/>
    <w:rsid w:val="00B44E77"/>
    <w:rPr>
      <w:rFonts w:eastAsia="MS Mincho"/>
      <w:spacing w:val="-1"/>
      <w:lang w:val="ru-RU" w:eastAsia="en-US"/>
    </w:rPr>
  </w:style>
  <w:style w:type="character" w:customStyle="1" w:styleId="20">
    <w:name w:val="Заголовок 2 Знак"/>
    <w:basedOn w:val="a4"/>
    <w:link w:val="2"/>
    <w:rsid w:val="00B44E77"/>
    <w:rPr>
      <w:rFonts w:eastAsia="SimSun"/>
      <w:i/>
      <w:iCs/>
      <w:noProof/>
      <w:lang w:val="ru-RU" w:eastAsia="en-US"/>
    </w:rPr>
  </w:style>
  <w:style w:type="character" w:customStyle="1" w:styleId="30">
    <w:name w:val="Заголовок 3 Знак"/>
    <w:basedOn w:val="a4"/>
    <w:link w:val="3"/>
    <w:uiPriority w:val="1"/>
    <w:rsid w:val="00B44E77"/>
    <w:rPr>
      <w:rFonts w:eastAsia="SimSun"/>
      <w:i/>
      <w:iCs/>
      <w:noProof/>
      <w:lang w:val="ru-RU" w:eastAsia="en-US"/>
    </w:rPr>
  </w:style>
  <w:style w:type="character" w:customStyle="1" w:styleId="40">
    <w:name w:val="Заголовок 4 Знак"/>
    <w:basedOn w:val="a4"/>
    <w:link w:val="4"/>
    <w:uiPriority w:val="1"/>
    <w:rsid w:val="00B44E77"/>
    <w:rPr>
      <w:rFonts w:eastAsia="SimSun"/>
      <w:i/>
      <w:iCs/>
      <w:noProof/>
      <w:lang w:val="ru-RU" w:eastAsia="en-US"/>
    </w:rPr>
  </w:style>
  <w:style w:type="character" w:customStyle="1" w:styleId="50">
    <w:name w:val="Заголовок 5 Знак"/>
    <w:basedOn w:val="a4"/>
    <w:link w:val="5"/>
    <w:rsid w:val="00B44E77"/>
    <w:rPr>
      <w:rFonts w:eastAsia="SimSun"/>
      <w:smallCaps/>
      <w:noProof/>
      <w:lang w:val="ru-RU" w:eastAsia="en-US"/>
    </w:rPr>
  </w:style>
  <w:style w:type="character" w:customStyle="1" w:styleId="60">
    <w:name w:val="Заголовок 6 Знак"/>
    <w:basedOn w:val="a4"/>
    <w:link w:val="6"/>
    <w:uiPriority w:val="9"/>
    <w:semiHidden/>
    <w:rsid w:val="00B44E77"/>
    <w:rPr>
      <w:rFonts w:eastAsiaTheme="majorEastAsia" w:cstheme="majorBidi"/>
      <w:i/>
      <w:iCs/>
      <w:color w:val="000000" w:themeColor="text1"/>
      <w:lang w:val="ru-RU" w:eastAsia="en-US"/>
    </w:rPr>
  </w:style>
  <w:style w:type="paragraph" w:customStyle="1" w:styleId="af">
    <w:name w:val="Ключевые слова"/>
    <w:basedOn w:val="a2"/>
    <w:next w:val="1"/>
    <w:qFormat/>
    <w:rsid w:val="00B44E77"/>
    <w:pPr>
      <w:spacing w:after="200"/>
      <w:ind w:firstLine="289"/>
      <w:jc w:val="both"/>
    </w:pPr>
    <w:rPr>
      <w:b/>
      <w:i/>
      <w:sz w:val="18"/>
    </w:rPr>
  </w:style>
  <w:style w:type="paragraph" w:customStyle="1" w:styleId="af0">
    <w:name w:val="Мэйл"/>
    <w:basedOn w:val="a2"/>
    <w:qFormat/>
    <w:rsid w:val="00B44E77"/>
    <w:pPr>
      <w:spacing w:after="120"/>
      <w:jc w:val="center"/>
    </w:pPr>
    <w:rPr>
      <w:sz w:val="22"/>
      <w:lang w:val="en-US"/>
    </w:rPr>
  </w:style>
  <w:style w:type="character" w:customStyle="1" w:styleId="a8">
    <w:name w:val="Заголовок Знак"/>
    <w:basedOn w:val="a4"/>
    <w:link w:val="a7"/>
    <w:rsid w:val="00B44E77"/>
    <w:rPr>
      <w:rFonts w:eastAsiaTheme="majorEastAsia" w:cstheme="majorBidi"/>
      <w:color w:val="000000" w:themeColor="text1"/>
      <w:kern w:val="28"/>
      <w:sz w:val="48"/>
      <w:szCs w:val="52"/>
      <w:lang w:val="ru-RU" w:eastAsia="en-US"/>
    </w:rPr>
  </w:style>
  <w:style w:type="paragraph" w:customStyle="1" w:styleId="a">
    <w:name w:val="Название рисунка"/>
    <w:basedOn w:val="a2"/>
    <w:qFormat/>
    <w:rsid w:val="00B44E77"/>
    <w:pPr>
      <w:numPr>
        <w:numId w:val="10"/>
      </w:numPr>
      <w:tabs>
        <w:tab w:val="left" w:pos="289"/>
      </w:tabs>
      <w:spacing w:before="120" w:after="200"/>
    </w:pPr>
    <w:rPr>
      <w:sz w:val="16"/>
    </w:rPr>
  </w:style>
  <w:style w:type="table" w:styleId="af1">
    <w:name w:val="Table Grid"/>
    <w:basedOn w:val="a5"/>
    <w:uiPriority w:val="59"/>
    <w:rsid w:val="00B44E77"/>
    <w:rPr>
      <w:rFonts w:asciiTheme="minorHAnsi" w:hAnsiTheme="minorHAnsi" w:cstheme="minorBidi"/>
      <w:sz w:val="22"/>
      <w:szCs w:val="22"/>
      <w:lang w:val="ru-R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0">
    <w:name w:val="Bibliography"/>
    <w:basedOn w:val="a3"/>
    <w:next w:val="a2"/>
    <w:qFormat/>
    <w:rsid w:val="0025591C"/>
    <w:pPr>
      <w:numPr>
        <w:numId w:val="11"/>
      </w:numPr>
      <w:tabs>
        <w:tab w:val="clear" w:pos="288"/>
      </w:tabs>
      <w:spacing w:after="50" w:line="180" w:lineRule="exact"/>
      <w:ind w:left="357" w:hanging="357"/>
    </w:pPr>
    <w:rPr>
      <w:spacing w:val="0"/>
      <w:sz w:val="16"/>
    </w:rPr>
  </w:style>
  <w:style w:type="paragraph" w:customStyle="1" w:styleId="-">
    <w:name w:val="Список-перечень"/>
    <w:basedOn w:val="a3"/>
    <w:next w:val="a3"/>
    <w:qFormat/>
    <w:rsid w:val="00B44E77"/>
    <w:pPr>
      <w:numPr>
        <w:numId w:val="12"/>
      </w:numPr>
      <w:spacing w:after="60"/>
      <w:ind w:left="714" w:hanging="357"/>
    </w:pPr>
  </w:style>
  <w:style w:type="paragraph" w:customStyle="1" w:styleId="af2">
    <w:name w:val="Строка таблицы"/>
    <w:basedOn w:val="a2"/>
    <w:qFormat/>
    <w:rsid w:val="00B44E77"/>
    <w:pPr>
      <w:tabs>
        <w:tab w:val="left" w:pos="1021"/>
      </w:tabs>
    </w:pPr>
    <w:rPr>
      <w:sz w:val="16"/>
    </w:rPr>
  </w:style>
  <w:style w:type="paragraph" w:customStyle="1" w:styleId="a1">
    <w:name w:val="Таблица"/>
    <w:basedOn w:val="a2"/>
    <w:next w:val="a2"/>
    <w:qFormat/>
    <w:rsid w:val="00B44E77"/>
    <w:pPr>
      <w:numPr>
        <w:numId w:val="13"/>
      </w:numPr>
      <w:tabs>
        <w:tab w:val="left" w:pos="567"/>
      </w:tabs>
      <w:spacing w:before="240" w:after="80"/>
      <w:jc w:val="center"/>
    </w:pPr>
    <w:rPr>
      <w:smallCaps/>
      <w:sz w:val="16"/>
    </w:rPr>
  </w:style>
  <w:style w:type="paragraph" w:customStyle="1" w:styleId="af3">
    <w:name w:val="Финансирование"/>
    <w:basedOn w:val="a2"/>
    <w:qFormat/>
    <w:rsid w:val="00B44E7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styleId="af4">
    <w:name w:val="header"/>
    <w:basedOn w:val="a2"/>
    <w:link w:val="af5"/>
    <w:uiPriority w:val="99"/>
    <w:unhideWhenUsed/>
    <w:rsid w:val="009817D0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4"/>
    <w:link w:val="af4"/>
    <w:uiPriority w:val="99"/>
    <w:rsid w:val="009817D0"/>
    <w:rPr>
      <w:lang w:val="ru-RU" w:eastAsia="en-US"/>
    </w:rPr>
  </w:style>
  <w:style w:type="paragraph" w:styleId="af6">
    <w:name w:val="footer"/>
    <w:basedOn w:val="a2"/>
    <w:link w:val="af7"/>
    <w:uiPriority w:val="99"/>
    <w:unhideWhenUsed/>
    <w:rsid w:val="009817D0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4"/>
    <w:link w:val="af6"/>
    <w:uiPriority w:val="99"/>
    <w:rsid w:val="009817D0"/>
    <w:rPr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2126</Words>
  <Characters>12122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2026-04-16T17:05:00Z</dcterms:created>
  <dcterms:modified xsi:type="dcterms:W3CDTF">2026-04-16T17:05:00Z</dcterms:modified>
</cp:coreProperties>
</file>