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44915D" w14:textId="4610660D" w:rsidR="000F3EF4" w:rsidRDefault="00BA3409" w:rsidP="00BA3409">
      <w:pPr>
        <w:pStyle w:val="af6"/>
      </w:pPr>
      <w:r w:rsidRPr="00C72945">
        <w:t>Проблемы эквивалентности и терминологической однозначности при переводе текстов по эконометрике и математическому моделированию</w:t>
      </w:r>
    </w:p>
    <w:p w14:paraId="7A7F7385" w14:textId="13320E8F" w:rsidR="0080748F" w:rsidRDefault="00B91E3E" w:rsidP="00BA3409">
      <w:pPr>
        <w:pStyle w:val="af1"/>
      </w:pPr>
      <w:r>
        <w:t>Ю</w:t>
      </w:r>
      <w:r w:rsidR="00BA3409">
        <w:t>.</w:t>
      </w:r>
      <w:r>
        <w:t xml:space="preserve"> В</w:t>
      </w:r>
      <w:r w:rsidR="00BA3409">
        <w:t>.</w:t>
      </w:r>
      <w:r w:rsidR="00BA3409" w:rsidRPr="00BA3409">
        <w:t xml:space="preserve"> </w:t>
      </w:r>
      <w:proofErr w:type="spellStart"/>
      <w:r w:rsidR="00BA3409">
        <w:t>Ланбин</w:t>
      </w:r>
      <w:proofErr w:type="spellEnd"/>
    </w:p>
    <w:p w14:paraId="4395E7D7" w14:textId="69DA862F" w:rsidR="00BA3409" w:rsidRPr="00CB30F4" w:rsidRDefault="00BA3409" w:rsidP="00BA3409">
      <w:pPr>
        <w:pStyle w:val="af2"/>
        <w:ind w:left="1701" w:right="1587"/>
        <w:rPr>
          <w:iCs/>
        </w:rPr>
      </w:pPr>
      <w:r w:rsidRPr="00CB30F4">
        <w:rPr>
          <w:iCs/>
        </w:rPr>
        <w:t>Санкт-Петербургский государственный электротехнический университет «ЛЭТИ» им. В.И. Ульянова (Ленина)</w:t>
      </w:r>
      <w:r>
        <w:rPr>
          <w:iCs/>
        </w:rPr>
        <w:t xml:space="preserve"> </w:t>
      </w:r>
    </w:p>
    <w:p w14:paraId="56B2F410" w14:textId="0ED9CE5A" w:rsidR="00DF763C" w:rsidRPr="00A7645E" w:rsidRDefault="0004483F" w:rsidP="00E86FBD">
      <w:pPr>
        <w:pStyle w:val="af5"/>
        <w:spacing w:after="180"/>
        <w:rPr>
          <w:sz w:val="24"/>
          <w:szCs w:val="24"/>
          <w:lang w:val="ru-RU"/>
        </w:rPr>
      </w:pPr>
      <w:proofErr w:type="spellStart"/>
      <w:r w:rsidRPr="00BA3409">
        <w:rPr>
          <w:sz w:val="24"/>
          <w:szCs w:val="24"/>
        </w:rPr>
        <w:t>yury</w:t>
      </w:r>
      <w:proofErr w:type="spellEnd"/>
      <w:r w:rsidRPr="00A7645E">
        <w:rPr>
          <w:sz w:val="24"/>
          <w:szCs w:val="24"/>
          <w:lang w:val="ru-RU"/>
        </w:rPr>
        <w:t>.</w:t>
      </w:r>
      <w:proofErr w:type="spellStart"/>
      <w:r w:rsidRPr="00BA3409">
        <w:rPr>
          <w:sz w:val="24"/>
          <w:szCs w:val="24"/>
        </w:rPr>
        <w:t>lanbin</w:t>
      </w:r>
      <w:proofErr w:type="spellEnd"/>
      <w:r w:rsidRPr="00A7645E">
        <w:rPr>
          <w:sz w:val="24"/>
          <w:szCs w:val="24"/>
          <w:lang w:val="ru-RU"/>
        </w:rPr>
        <w:t>00@</w:t>
      </w:r>
      <w:proofErr w:type="spellStart"/>
      <w:r w:rsidRPr="00BA3409">
        <w:rPr>
          <w:sz w:val="24"/>
          <w:szCs w:val="24"/>
        </w:rPr>
        <w:t>gmail</w:t>
      </w:r>
      <w:proofErr w:type="spellEnd"/>
      <w:r w:rsidRPr="00A7645E">
        <w:rPr>
          <w:sz w:val="24"/>
          <w:szCs w:val="24"/>
          <w:lang w:val="ru-RU"/>
        </w:rPr>
        <w:t>.</w:t>
      </w:r>
      <w:r w:rsidRPr="00BA3409">
        <w:rPr>
          <w:sz w:val="24"/>
          <w:szCs w:val="24"/>
        </w:rPr>
        <w:t>com</w:t>
      </w:r>
    </w:p>
    <w:p w14:paraId="0A6B1D39" w14:textId="77777777" w:rsidR="00562CB9" w:rsidRDefault="00562CB9" w:rsidP="00BA3409">
      <w:pPr>
        <w:pStyle w:val="a3"/>
        <w:sectPr w:rsidR="00562CB9" w:rsidSect="00E86FBD">
          <w:footerReference w:type="default" r:id="rId9"/>
          <w:pgSz w:w="11910" w:h="16840" w:code="9"/>
          <w:pgMar w:top="907" w:right="907" w:bottom="1440" w:left="907" w:header="709" w:footer="709" w:gutter="0"/>
          <w:pgNumType w:start="439"/>
          <w:cols w:space="720"/>
        </w:sectPr>
      </w:pPr>
    </w:p>
    <w:p w14:paraId="12CC077D" w14:textId="69DAD004" w:rsidR="00BA3409" w:rsidRPr="0097100F" w:rsidRDefault="00BA3409" w:rsidP="00BA3409">
      <w:pPr>
        <w:pStyle w:val="a3"/>
      </w:pPr>
      <w:r w:rsidRPr="0097100F">
        <w:lastRenderedPageBreak/>
        <w:t>УДК</w:t>
      </w:r>
      <w:r>
        <w:t xml:space="preserve"> </w:t>
      </w:r>
      <w:r w:rsidRPr="00954832">
        <w:t>81’255.4:330.43</w:t>
      </w:r>
    </w:p>
    <w:p w14:paraId="40D7A795" w14:textId="7E0660B5" w:rsidR="00C72945" w:rsidRDefault="0001137B" w:rsidP="00861301">
      <w:pPr>
        <w:pStyle w:val="af3"/>
      </w:pPr>
      <w:r w:rsidRPr="00BA3409">
        <w:rPr>
          <w:i/>
        </w:rPr>
        <w:t>Аннотация</w:t>
      </w:r>
      <w:r w:rsidR="00BA3409">
        <w:t>.</w:t>
      </w:r>
      <w:r w:rsidR="0004483F">
        <w:t xml:space="preserve"> </w:t>
      </w:r>
      <w:r w:rsidR="00C72945" w:rsidRPr="00C72945">
        <w:t xml:space="preserve">Статья посвящена анализу проблем эквивалентности и терминологической однозначности при переводе научных текстов в области эконометрики и математического моделирования. Актуальность исследования обусловлена ростом объёма англоязычных публикаций в сфере количественной экономики и необходимостью их корректного перевода в русскоязычном академическом дискурсе. Рассматриваются виды </w:t>
      </w:r>
      <w:r w:rsidR="00C72945" w:rsidRPr="00861301">
        <w:t>эквивалентности</w:t>
      </w:r>
      <w:r w:rsidR="00C72945" w:rsidRPr="00C72945">
        <w:t xml:space="preserve">, особенности передачи математико-экономической терминологии, проблемы калькирования и семантического смещения. На примере терминов </w:t>
      </w:r>
      <w:proofErr w:type="spellStart"/>
      <w:r w:rsidR="00C72945" w:rsidRPr="00C72945">
        <w:t>utility</w:t>
      </w:r>
      <w:proofErr w:type="spellEnd"/>
      <w:r w:rsidR="00C72945" w:rsidRPr="00C72945">
        <w:t xml:space="preserve">, </w:t>
      </w:r>
      <w:proofErr w:type="spellStart"/>
      <w:r w:rsidR="00C72945" w:rsidRPr="00C72945">
        <w:t>payoff</w:t>
      </w:r>
      <w:proofErr w:type="spellEnd"/>
      <w:r w:rsidR="00C72945" w:rsidRPr="00C72945">
        <w:t xml:space="preserve">, </w:t>
      </w:r>
      <w:proofErr w:type="spellStart"/>
      <w:r w:rsidR="00C72945" w:rsidRPr="00C72945">
        <w:t>bias</w:t>
      </w:r>
      <w:proofErr w:type="spellEnd"/>
      <w:r w:rsidR="00C72945" w:rsidRPr="00C72945">
        <w:t xml:space="preserve">, </w:t>
      </w:r>
      <w:proofErr w:type="spellStart"/>
      <w:r w:rsidR="00C72945" w:rsidRPr="00C72945">
        <w:t>consistency</w:t>
      </w:r>
      <w:proofErr w:type="spellEnd"/>
      <w:r w:rsidR="00C72945" w:rsidRPr="00C72945">
        <w:t xml:space="preserve">, </w:t>
      </w:r>
      <w:proofErr w:type="spellStart"/>
      <w:r w:rsidR="00C72945" w:rsidRPr="00C72945">
        <w:t>robustness</w:t>
      </w:r>
      <w:proofErr w:type="spellEnd"/>
      <w:r w:rsidR="00C72945" w:rsidRPr="00C72945">
        <w:t xml:space="preserve">, </w:t>
      </w:r>
      <w:proofErr w:type="spellStart"/>
      <w:r w:rsidR="00C72945" w:rsidRPr="00C72945">
        <w:t>convergence</w:t>
      </w:r>
      <w:proofErr w:type="spellEnd"/>
      <w:r w:rsidR="00C72945" w:rsidRPr="00C72945">
        <w:t xml:space="preserve">, </w:t>
      </w:r>
      <w:proofErr w:type="spellStart"/>
      <w:r w:rsidR="00C72945" w:rsidRPr="00C72945">
        <w:t>learning</w:t>
      </w:r>
      <w:proofErr w:type="spellEnd"/>
      <w:r w:rsidR="00C72945" w:rsidRPr="00C72945">
        <w:t xml:space="preserve">, </w:t>
      </w:r>
      <w:proofErr w:type="spellStart"/>
      <w:r w:rsidR="00C72945" w:rsidRPr="00C72945">
        <w:t>equilibrium</w:t>
      </w:r>
      <w:proofErr w:type="spellEnd"/>
      <w:r w:rsidR="00C72945" w:rsidRPr="00C72945">
        <w:t xml:space="preserve"> показаны типичные переводческие трудности и их влияние на интерпретацию моделей. Предлагаются рекомендации по обеспечению терминологической однозначности, основанные на принципах функционально-семантической эквивалентности и стандартизации понятийного аппарата.</w:t>
      </w:r>
    </w:p>
    <w:p w14:paraId="7FE4AF7E" w14:textId="2F1DFD2D" w:rsidR="0080748F" w:rsidRPr="00DF763C" w:rsidRDefault="0001137B" w:rsidP="00BA3409">
      <w:pPr>
        <w:pStyle w:val="af4"/>
      </w:pPr>
      <w:proofErr w:type="gramStart"/>
      <w:r w:rsidRPr="00CA6499">
        <w:t>Ключевые</w:t>
      </w:r>
      <w:r w:rsidRPr="00CA6499">
        <w:rPr>
          <w:spacing w:val="33"/>
        </w:rPr>
        <w:t xml:space="preserve"> </w:t>
      </w:r>
      <w:r w:rsidRPr="00CA6499">
        <w:t>слова</w:t>
      </w:r>
      <w:r w:rsidR="0004483F" w:rsidRPr="00CA6499">
        <w:t>:</w:t>
      </w:r>
      <w:r w:rsidR="00625113" w:rsidRPr="00DF763C">
        <w:t xml:space="preserve"> </w:t>
      </w:r>
      <w:r w:rsidR="00C72945" w:rsidRPr="00C72945">
        <w:t>научный перевод, эконометрика, математическое моделирование, терминология, эквивалентность, фондовый рынок, кооперативное поведе</w:t>
      </w:r>
      <w:r w:rsidR="00BA3409">
        <w:t xml:space="preserve">ние, прикладное </w:t>
      </w:r>
      <w:proofErr w:type="spellStart"/>
      <w:r w:rsidR="00BA3409">
        <w:t>переводоведение</w:t>
      </w:r>
      <w:proofErr w:type="spellEnd"/>
      <w:proofErr w:type="gramEnd"/>
    </w:p>
    <w:p w14:paraId="0AD355AB" w14:textId="77777777" w:rsidR="008B61DE" w:rsidRDefault="0001137B" w:rsidP="00562CB9">
      <w:pPr>
        <w:pStyle w:val="1"/>
      </w:pPr>
      <w:r w:rsidRPr="0097100F">
        <w:t>Введение</w:t>
      </w:r>
    </w:p>
    <w:p w14:paraId="32E8661D" w14:textId="49E72BFE" w:rsidR="00C72945" w:rsidRDefault="00C72945" w:rsidP="00861301">
      <w:pPr>
        <w:pStyle w:val="a3"/>
        <w:rPr>
          <w:lang w:eastAsia="ru-RU"/>
        </w:rPr>
      </w:pPr>
      <w:r w:rsidRPr="00C72945">
        <w:rPr>
          <w:lang w:eastAsia="ru-RU"/>
        </w:rPr>
        <w:t>Современные исследования в области эконометрики и математического моделирования финансовых рынков преимущественно публикуются на английском языке. Работы, посвящённые моделированию кооперативного поведения участников фондового рынка, теории игр, стохастическим процессам и методам машинного обучения, формируют международный научный дискурс. Однако их перевод на русский язык сопряжён с рядом методологических трудностей, связанных с достижением эквивалентности и обеспечением терминологической однозначности.</w:t>
      </w:r>
    </w:p>
    <w:p w14:paraId="40E64A6B" w14:textId="77777777" w:rsidR="00A7645E" w:rsidRPr="00A7645E" w:rsidRDefault="00A7645E" w:rsidP="00861301">
      <w:pPr>
        <w:pStyle w:val="a3"/>
        <w:rPr>
          <w:lang w:eastAsia="ru-RU"/>
        </w:rPr>
      </w:pPr>
      <w:r w:rsidRPr="00A7645E">
        <w:rPr>
          <w:lang w:eastAsia="ru-RU"/>
        </w:rPr>
        <w:t xml:space="preserve">В последние десятилетия английский язык окончательно закрепился в качестве основного языка международной научной коммуникации. Подавляющее большинство публикаций в области эконометрики, математической экономики и финансового моделирования выходит в ведущих международных журналах на английском языке. В результате исследователи, работающие в русскоязычном научном пространстве, регулярно сталкиваются с необходимостью перевода специализированных текстов, </w:t>
      </w:r>
      <w:r w:rsidRPr="00A7645E">
        <w:rPr>
          <w:lang w:eastAsia="ru-RU"/>
        </w:rPr>
        <w:lastRenderedPageBreak/>
        <w:t>содержащих сложный математический аппарат и развитую терминологическую систему.</w:t>
      </w:r>
    </w:p>
    <w:p w14:paraId="6B740446" w14:textId="77777777" w:rsidR="00A7645E" w:rsidRDefault="00A7645E" w:rsidP="00861301">
      <w:pPr>
        <w:pStyle w:val="a3"/>
        <w:rPr>
          <w:lang w:eastAsia="ru-RU"/>
        </w:rPr>
      </w:pPr>
      <w:r w:rsidRPr="00A7645E">
        <w:rPr>
          <w:lang w:eastAsia="ru-RU"/>
        </w:rPr>
        <w:t>Особую сложность представляет перевод междисциплинарных исследований, находящихся на пересечении экономики, математики и информатики. Такие тексты характеризуются высокой плотностью терминологии, использованием формализованных моделей и наличием понятий, не имеющих прямых эквивалентов в других языках. В этих условиях проблема достижения эквивалентности перевода приобретает не только лингвистическое, но и методологическое значение.</w:t>
      </w:r>
    </w:p>
    <w:p w14:paraId="1F36E678" w14:textId="7CE800CF" w:rsidR="00C72945" w:rsidRPr="00C72945" w:rsidRDefault="00C72945" w:rsidP="00861301">
      <w:pPr>
        <w:pStyle w:val="a3"/>
        <w:rPr>
          <w:lang w:eastAsia="ru-RU"/>
        </w:rPr>
      </w:pPr>
      <w:r w:rsidRPr="00C72945">
        <w:rPr>
          <w:lang w:eastAsia="ru-RU"/>
        </w:rPr>
        <w:t>В научном переводе особую роль играет не только лексическая точность, но и корректная передача формальной структуры рассуждения, математической нотации и понятийных связей. Нарушение терминологической системности может привести к искажению интерпретации модели и, как следствие, к методологическим ошибкам.</w:t>
      </w:r>
    </w:p>
    <w:p w14:paraId="422CC0A4" w14:textId="688C7C1D" w:rsidR="00C72945" w:rsidRDefault="00C72945" w:rsidP="00861301">
      <w:pPr>
        <w:pStyle w:val="a3"/>
        <w:rPr>
          <w:lang w:eastAsia="ru-RU"/>
        </w:rPr>
      </w:pPr>
      <w:r w:rsidRPr="00C72945">
        <w:rPr>
          <w:lang w:eastAsia="ru-RU"/>
        </w:rPr>
        <w:t>Цель настоящей статьи</w:t>
      </w:r>
      <w:r>
        <w:rPr>
          <w:lang w:eastAsia="ru-RU"/>
        </w:rPr>
        <w:t xml:space="preserve"> – </w:t>
      </w:r>
      <w:r w:rsidRPr="00C72945">
        <w:rPr>
          <w:lang w:eastAsia="ru-RU"/>
        </w:rPr>
        <w:t>выявить</w:t>
      </w:r>
      <w:r>
        <w:rPr>
          <w:lang w:eastAsia="ru-RU"/>
        </w:rPr>
        <w:t xml:space="preserve"> </w:t>
      </w:r>
      <w:r w:rsidRPr="00C72945">
        <w:rPr>
          <w:lang w:eastAsia="ru-RU"/>
        </w:rPr>
        <w:t>ключевые проблемы эквивалентности при переводе текстов по эконометрике и математическому моделированию и предложить практические рекомендации для обеспечения терминологической точности.</w:t>
      </w:r>
    </w:p>
    <w:p w14:paraId="2FEAC3E4" w14:textId="7DA89A28" w:rsidR="00CD1AE9" w:rsidRPr="00CD1AE9" w:rsidRDefault="00CD1AE9" w:rsidP="00562CB9">
      <w:pPr>
        <w:pStyle w:val="1"/>
        <w:rPr>
          <w:lang w:eastAsia="ru-RU"/>
        </w:rPr>
      </w:pPr>
      <w:r w:rsidRPr="00CD1AE9">
        <w:rPr>
          <w:lang w:eastAsia="ru-RU"/>
        </w:rPr>
        <w:t>Понятие эквивалентности в научном переводе</w:t>
      </w:r>
      <w:r w:rsidR="008B61DE" w:rsidRPr="00CD1AE9">
        <w:rPr>
          <w:lang w:eastAsia="ru-RU"/>
        </w:rPr>
        <w:t xml:space="preserve"> </w:t>
      </w:r>
    </w:p>
    <w:p w14:paraId="3FFC26EF" w14:textId="6687582D" w:rsidR="00CD1AE9" w:rsidRPr="00CD1AE9" w:rsidRDefault="00CD1AE9" w:rsidP="00562CB9">
      <w:pPr>
        <w:pStyle w:val="a3"/>
        <w:rPr>
          <w:lang w:eastAsia="ru-RU"/>
        </w:rPr>
      </w:pPr>
      <w:r w:rsidRPr="00CD1AE9">
        <w:t xml:space="preserve">В теории перевода традиционно выделяют несколько уровней эквивалентности: формальную, семантическую и функциональную [1]. В </w:t>
      </w:r>
      <w:r w:rsidRPr="00562CB9">
        <w:t xml:space="preserve">научно-техническом переводе приоритет имеет функционально-семантическая эквивалентность, </w:t>
      </w:r>
      <w:r w:rsidRPr="00CD1AE9">
        <w:t>предполагающая совпадение понятийного содержания и логической структуры текста. Для текстов по эконометрике это означает:</w:t>
      </w:r>
    </w:p>
    <w:p w14:paraId="476E64E2" w14:textId="77777777" w:rsidR="00CD1AE9" w:rsidRPr="00CD1AE9" w:rsidRDefault="00CD1AE9" w:rsidP="00562CB9">
      <w:pPr>
        <w:pStyle w:val="-"/>
      </w:pPr>
      <w:r w:rsidRPr="00CD1AE9">
        <w:t>сохранение строгой дефиниции термина;</w:t>
      </w:r>
    </w:p>
    <w:p w14:paraId="71210592" w14:textId="77777777" w:rsidR="00CD1AE9" w:rsidRPr="00CD1AE9" w:rsidRDefault="00CD1AE9" w:rsidP="00562CB9">
      <w:pPr>
        <w:pStyle w:val="-"/>
      </w:pPr>
      <w:r w:rsidRPr="00CD1AE9">
        <w:t>единообразие перевода в пределах одного исследования;</w:t>
      </w:r>
    </w:p>
    <w:p w14:paraId="1ADF9938" w14:textId="77777777" w:rsidR="00CD1AE9" w:rsidRPr="00CD1AE9" w:rsidRDefault="00CD1AE9" w:rsidP="00562CB9">
      <w:pPr>
        <w:pStyle w:val="-"/>
        <w:spacing w:after="120"/>
      </w:pPr>
      <w:r w:rsidRPr="00CD1AE9">
        <w:t>непротиворечивость перевода по отношению к существующей научной традиции.</w:t>
      </w:r>
    </w:p>
    <w:p w14:paraId="2A14CC25" w14:textId="05B0912D" w:rsidR="00E47ABB" w:rsidRDefault="00CD1AE9" w:rsidP="00562CB9">
      <w:pPr>
        <w:pStyle w:val="a3"/>
      </w:pPr>
      <w:r w:rsidRPr="00CD1AE9">
        <w:t xml:space="preserve">Эквивалентность в математическом дискурсе осложняется тем, что термины часто имеют общеязыковые омонимы, однако в научном контексте </w:t>
      </w:r>
      <w:bookmarkStart w:id="0" w:name="_GoBack"/>
      <w:bookmarkEnd w:id="0"/>
      <w:r w:rsidRPr="00CD1AE9">
        <w:t>обладают строго определённым значением</w:t>
      </w:r>
      <w:r w:rsidR="005D79D7">
        <w:t xml:space="preserve"> </w:t>
      </w:r>
      <w:r w:rsidR="005D79D7" w:rsidRPr="005D79D7">
        <w:t>[2]</w:t>
      </w:r>
      <w:r w:rsidRPr="00CD1AE9">
        <w:t>.</w:t>
      </w:r>
    </w:p>
    <w:p w14:paraId="02A25794" w14:textId="5DC38708" w:rsidR="00A7645E" w:rsidRPr="00A7645E" w:rsidRDefault="00A7645E" w:rsidP="00861301">
      <w:pPr>
        <w:pStyle w:val="a3"/>
        <w:rPr>
          <w:lang w:eastAsia="ru-RU"/>
        </w:rPr>
      </w:pPr>
      <w:r w:rsidRPr="00A7645E">
        <w:rPr>
          <w:lang w:eastAsia="ru-RU"/>
        </w:rPr>
        <w:lastRenderedPageBreak/>
        <w:t xml:space="preserve">В современной теории перевода проблема эквивалентности рассматривается как одна из центральных. Различные исследователи предлагают собственные классификации типов эквивалентности, отражающие разные аспекты соответствия исходного и переводного текста. Так, Ю. </w:t>
      </w:r>
      <w:proofErr w:type="spellStart"/>
      <w:r w:rsidRPr="00A7645E">
        <w:rPr>
          <w:lang w:eastAsia="ru-RU"/>
        </w:rPr>
        <w:t>Найда</w:t>
      </w:r>
      <w:proofErr w:type="spellEnd"/>
      <w:r w:rsidRPr="00A7645E">
        <w:rPr>
          <w:lang w:eastAsia="ru-RU"/>
        </w:rPr>
        <w:t xml:space="preserve"> выделял формальную и динамическую эквивалентность, подчеркивая необходимость сохранения коммуникативного эффекта текста</w:t>
      </w:r>
      <w:r w:rsidR="00191430">
        <w:rPr>
          <w:lang w:eastAsia="ru-RU"/>
        </w:rPr>
        <w:t xml:space="preserve"> </w:t>
      </w:r>
      <w:r w:rsidR="00191430" w:rsidRPr="00191430">
        <w:rPr>
          <w:lang w:eastAsia="ru-RU"/>
        </w:rPr>
        <w:t>[7]</w:t>
      </w:r>
      <w:r w:rsidRPr="00A7645E">
        <w:rPr>
          <w:lang w:eastAsia="ru-RU"/>
        </w:rPr>
        <w:t xml:space="preserve">. П. </w:t>
      </w:r>
      <w:proofErr w:type="spellStart"/>
      <w:r w:rsidRPr="00A7645E">
        <w:rPr>
          <w:lang w:eastAsia="ru-RU"/>
        </w:rPr>
        <w:t>Ньюмарк</w:t>
      </w:r>
      <w:proofErr w:type="spellEnd"/>
      <w:r w:rsidRPr="00A7645E">
        <w:rPr>
          <w:lang w:eastAsia="ru-RU"/>
        </w:rPr>
        <w:t xml:space="preserve"> развивал данную концепцию, противопоставляя семантический и коммуникативный перевод</w:t>
      </w:r>
      <w:r w:rsidR="00191430" w:rsidRPr="00191430">
        <w:rPr>
          <w:lang w:eastAsia="ru-RU"/>
        </w:rPr>
        <w:t xml:space="preserve"> [8]</w:t>
      </w:r>
      <w:r w:rsidRPr="00A7645E">
        <w:rPr>
          <w:lang w:eastAsia="ru-RU"/>
        </w:rPr>
        <w:t>.</w:t>
      </w:r>
    </w:p>
    <w:p w14:paraId="70A2A175" w14:textId="47CADBF4" w:rsidR="00A7645E" w:rsidRPr="00A7645E" w:rsidRDefault="00A7645E" w:rsidP="00861301">
      <w:pPr>
        <w:pStyle w:val="a3"/>
        <w:rPr>
          <w:lang w:eastAsia="ru-RU"/>
        </w:rPr>
      </w:pPr>
      <w:r w:rsidRPr="00A7645E">
        <w:rPr>
          <w:lang w:eastAsia="ru-RU"/>
        </w:rPr>
        <w:t>В научно-технических текстах, в отличие от художественной литературы, приоритет имеет точность передачи понятийного содержания. Поэтому основным критерием качества перевода становится сохранение логической структуры рассуждения, терминологической системности и однозначности интерпретации ключевых понятий. Особенно это важно для эконометрических исследований, где неправильная интерпретация термина может привести к искажению смысла математической модели.</w:t>
      </w:r>
    </w:p>
    <w:p w14:paraId="3A5B7DCE" w14:textId="77777777" w:rsidR="00E47ABB" w:rsidRDefault="00E47ABB" w:rsidP="00562CB9">
      <w:pPr>
        <w:pStyle w:val="1"/>
      </w:pPr>
      <w:r>
        <w:t>Терминологическая неоднозначность в эконометрике</w:t>
      </w:r>
    </w:p>
    <w:p w14:paraId="09322503" w14:textId="2DB6362A" w:rsidR="00E47ABB" w:rsidRDefault="00E47ABB" w:rsidP="00562CB9">
      <w:pPr>
        <w:pStyle w:val="a3"/>
        <w:rPr>
          <w:b/>
          <w:bCs/>
        </w:rPr>
      </w:pPr>
      <w:r>
        <w:t xml:space="preserve">В микроэкономике термин </w:t>
      </w:r>
      <w:proofErr w:type="spellStart"/>
      <w:r>
        <w:rPr>
          <w:rStyle w:val="ad"/>
        </w:rPr>
        <w:t>utility</w:t>
      </w:r>
      <w:proofErr w:type="spellEnd"/>
      <w:r>
        <w:t xml:space="preserve"> традиционно переводится как «полезность»</w:t>
      </w:r>
      <w:r w:rsidR="005D79D7" w:rsidRPr="005D79D7">
        <w:t xml:space="preserve"> [3]</w:t>
      </w:r>
      <w:r>
        <w:t xml:space="preserve">. Однако в контексте теории игр и моделей финансового поведения полезность представляет собой </w:t>
      </w:r>
      <w:r w:rsidRPr="00E47ABB">
        <w:rPr>
          <w:rStyle w:val="ac"/>
          <w:b w:val="0"/>
          <w:bCs w:val="0"/>
        </w:rPr>
        <w:t>функционал предпочтений</w:t>
      </w:r>
      <w:r>
        <w:t>, а не субъективную «пользу» в бытовом смысле. Некорректный перевод может смещать акцент с формальной функции</w:t>
      </w:r>
      <w:proofErr w:type="gramStart"/>
      <w:r>
        <w:t xml:space="preserve"> </w:t>
      </w:r>
      <m:oMath>
        <m:r>
          <w:rPr>
            <w:rStyle w:val="katex-mathml"/>
            <w:rFonts w:ascii="Cambria Math" w:hAnsi="Cambria Math"/>
          </w:rPr>
          <m:t>U(x)</m:t>
        </m:r>
      </m:oMath>
      <w:r>
        <w:rPr>
          <w:rStyle w:val="katex-mathml"/>
        </w:rPr>
        <w:t xml:space="preserve"> </w:t>
      </w:r>
      <w:proofErr w:type="gramEnd"/>
      <w:r>
        <w:t>на психологическую интерпретацию.</w:t>
      </w:r>
    </w:p>
    <w:p w14:paraId="721B4D76" w14:textId="3A3682C5" w:rsidR="00E47ABB" w:rsidRDefault="00E47ABB" w:rsidP="00562CB9">
      <w:pPr>
        <w:pStyle w:val="a3"/>
      </w:pPr>
      <w:r>
        <w:t xml:space="preserve">Термин </w:t>
      </w:r>
      <w:proofErr w:type="spellStart"/>
      <w:r>
        <w:rPr>
          <w:rStyle w:val="ad"/>
        </w:rPr>
        <w:t>payoff</w:t>
      </w:r>
      <w:proofErr w:type="spellEnd"/>
      <w:r>
        <w:t xml:space="preserve"> в теории игр переводится как «выигрыш» или «выплата»</w:t>
      </w:r>
      <w:r w:rsidR="005D79D7" w:rsidRPr="005D79D7">
        <w:t xml:space="preserve"> [4]</w:t>
      </w:r>
      <w:r>
        <w:t xml:space="preserve">. В моделях кооперативного поведения на фондовом рынке данный термин обозначает количественный результат стратегии, выраженный в стоимостных или утилитарных единицах. Перевод как «прибыль» не всегда корректен, поскольку </w:t>
      </w:r>
      <w:proofErr w:type="spellStart"/>
      <w:r w:rsidRPr="00E47ABB">
        <w:rPr>
          <w:i/>
          <w:iCs/>
        </w:rPr>
        <w:t>payoff</w:t>
      </w:r>
      <w:proofErr w:type="spellEnd"/>
      <w:r>
        <w:t xml:space="preserve"> может быть отрицательным.</w:t>
      </w:r>
    </w:p>
    <w:p w14:paraId="1B11EC2D" w14:textId="7A4632E4" w:rsidR="00E47ABB" w:rsidRDefault="00E47ABB" w:rsidP="00562CB9">
      <w:pPr>
        <w:pStyle w:val="a3"/>
      </w:pPr>
      <w:r>
        <w:t xml:space="preserve">В эконометрике </w:t>
      </w:r>
      <w:proofErr w:type="spellStart"/>
      <w:r>
        <w:rPr>
          <w:rStyle w:val="ad"/>
        </w:rPr>
        <w:t>bias</w:t>
      </w:r>
      <w:proofErr w:type="spellEnd"/>
      <w:r>
        <w:t xml:space="preserve"> означает «смещение оценки». Однако в общеязыковом дискурсе слово «предвзятость» имеет психологический оттенок. В формальном контексте речь идёт о математическом ожидании оценочной ошибки:</w:t>
      </w:r>
    </w:p>
    <w:p w14:paraId="199E408F" w14:textId="25500345" w:rsidR="00E47ABB" w:rsidRPr="00E47ABB" w:rsidRDefault="00E47ABB" w:rsidP="00E47ABB">
      <w:pPr>
        <w:spacing w:line="23" w:lineRule="atLeast"/>
        <w:ind w:firstLine="340"/>
        <w:jc w:val="center"/>
        <w:rPr>
          <w:rStyle w:val="katex-mathml"/>
        </w:rPr>
      </w:pPr>
      <m:oMathPara>
        <m:oMath>
          <m:r>
            <w:rPr>
              <w:rStyle w:val="katex-mathml"/>
              <w:rFonts w:ascii="Cambria Math" w:hAnsi="Cambria Math"/>
            </w:rPr>
            <m:t>Bias</m:t>
          </m:r>
          <m:d>
            <m:dPr>
              <m:ctrlPr>
                <w:rPr>
                  <w:rStyle w:val="katex-mathml"/>
                  <w:rFonts w:ascii="Cambria Math" w:hAnsi="Cambria Math"/>
                  <w:i/>
                </w:rPr>
              </m:ctrlPr>
            </m:dPr>
            <m:e>
              <m:acc>
                <m:accPr>
                  <m:ctrlPr>
                    <w:rPr>
                      <w:rStyle w:val="katex-mathml"/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Style w:val="katex-mathml"/>
                      <w:rFonts w:ascii="Cambria Math" w:hAnsi="Cambria Math"/>
                    </w:rPr>
                    <m:t>θ</m:t>
                  </m:r>
                </m:e>
              </m:acc>
            </m:e>
          </m:d>
          <m:r>
            <m:rPr>
              <m:scr m:val="double-struck"/>
            </m:rPr>
            <w:rPr>
              <w:rStyle w:val="katex-mathml"/>
              <w:rFonts w:ascii="Cambria Math" w:hAnsi="Cambria Math"/>
            </w:rPr>
            <m:t>=E</m:t>
          </m:r>
          <m:d>
            <m:dPr>
              <m:ctrlPr>
                <w:rPr>
                  <w:rStyle w:val="katex-mathml"/>
                  <w:rFonts w:ascii="Cambria Math" w:hAnsi="Cambria Math"/>
                  <w:i/>
                </w:rPr>
              </m:ctrlPr>
            </m:dPr>
            <m:e>
              <m:acc>
                <m:accPr>
                  <m:ctrlPr>
                    <w:rPr>
                      <w:rStyle w:val="katex-mathml"/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Style w:val="katex-mathml"/>
                      <w:rFonts w:ascii="Cambria Math" w:hAnsi="Cambria Math"/>
                    </w:rPr>
                    <m:t>θ</m:t>
                  </m:r>
                </m:e>
              </m:acc>
            </m:e>
          </m:d>
          <m:r>
            <w:rPr>
              <w:rStyle w:val="katex-mathml"/>
              <w:rFonts w:ascii="Cambria Math" w:hAnsi="Cambria Math"/>
            </w:rPr>
            <m:t>-θ</m:t>
          </m:r>
        </m:oMath>
      </m:oMathPara>
    </w:p>
    <w:p w14:paraId="49BAA36E" w14:textId="77777777" w:rsidR="00E47ABB" w:rsidRDefault="00E47ABB" w:rsidP="00E47ABB">
      <w:pPr>
        <w:spacing w:line="23" w:lineRule="atLeast"/>
        <w:ind w:firstLine="340"/>
        <w:jc w:val="center"/>
      </w:pPr>
    </w:p>
    <w:p w14:paraId="3B0BB735" w14:textId="1DB060AC" w:rsidR="00E47ABB" w:rsidRDefault="00E47ABB" w:rsidP="00562CB9">
      <w:pPr>
        <w:pStyle w:val="a3"/>
      </w:pPr>
      <w:r>
        <w:t>Семантическое смещение приводит к потере строгого статистического смысла.</w:t>
      </w:r>
    </w:p>
    <w:p w14:paraId="4B804B6A" w14:textId="42A29CD8" w:rsidR="00E47ABB" w:rsidRPr="00191430" w:rsidRDefault="00E47ABB" w:rsidP="00191430">
      <w:pPr>
        <w:pStyle w:val="a3"/>
      </w:pPr>
      <w:r>
        <w:t xml:space="preserve">Термин </w:t>
      </w:r>
      <w:proofErr w:type="spellStart"/>
      <w:r>
        <w:rPr>
          <w:rStyle w:val="ad"/>
        </w:rPr>
        <w:t>consistency</w:t>
      </w:r>
      <w:proofErr w:type="spellEnd"/>
      <w:r>
        <w:t xml:space="preserve"> переводится как «состоятельность», а </w:t>
      </w:r>
      <w:proofErr w:type="spellStart"/>
      <w:r>
        <w:rPr>
          <w:rStyle w:val="ad"/>
        </w:rPr>
        <w:t>convergence</w:t>
      </w:r>
      <w:proofErr w:type="spellEnd"/>
      <w:r>
        <w:t xml:space="preserve"> – как «сходимость». Их смешение недопустимо, поскольку состоятельность оценки означает её сходимость по вероятности к истинному параметру при росте объёма выборки. </w:t>
      </w:r>
      <w:r w:rsidRPr="00191430">
        <w:t>Неправильный перевод разрушает логическую связь между статистическими свойствами оценки.</w:t>
      </w:r>
    </w:p>
    <w:p w14:paraId="49763742" w14:textId="77777777" w:rsidR="00191430" w:rsidRPr="00191430" w:rsidRDefault="00191430" w:rsidP="00861301">
      <w:pPr>
        <w:pStyle w:val="a3"/>
        <w:rPr>
          <w:lang w:eastAsia="ru-RU"/>
        </w:rPr>
      </w:pPr>
      <w:r w:rsidRPr="00191430">
        <w:rPr>
          <w:lang w:eastAsia="ru-RU"/>
        </w:rPr>
        <w:t xml:space="preserve">Сходные проблемы возникают при переводе терминов </w:t>
      </w:r>
      <w:proofErr w:type="spellStart"/>
      <w:r w:rsidRPr="00191430">
        <w:rPr>
          <w:lang w:eastAsia="ru-RU"/>
        </w:rPr>
        <w:t>robustness</w:t>
      </w:r>
      <w:proofErr w:type="spellEnd"/>
      <w:r w:rsidRPr="00191430">
        <w:rPr>
          <w:lang w:eastAsia="ru-RU"/>
        </w:rPr>
        <w:t xml:space="preserve"> и </w:t>
      </w:r>
      <w:proofErr w:type="spellStart"/>
      <w:r w:rsidRPr="00191430">
        <w:rPr>
          <w:lang w:eastAsia="ru-RU"/>
        </w:rPr>
        <w:t>stability</w:t>
      </w:r>
      <w:proofErr w:type="spellEnd"/>
      <w:r w:rsidRPr="00191430">
        <w:rPr>
          <w:lang w:eastAsia="ru-RU"/>
        </w:rPr>
        <w:t>. В современной</w:t>
      </w:r>
      <w:r w:rsidRPr="00191430">
        <w:rPr>
          <w:sz w:val="24"/>
          <w:szCs w:val="24"/>
          <w:lang w:eastAsia="ru-RU"/>
        </w:rPr>
        <w:t xml:space="preserve"> </w:t>
      </w:r>
      <w:r w:rsidRPr="00191430">
        <w:rPr>
          <w:lang w:eastAsia="ru-RU"/>
        </w:rPr>
        <w:t xml:space="preserve">эконометрике термин </w:t>
      </w:r>
      <w:proofErr w:type="spellStart"/>
      <w:r w:rsidRPr="00191430">
        <w:rPr>
          <w:lang w:eastAsia="ru-RU"/>
        </w:rPr>
        <w:t>robustness</w:t>
      </w:r>
      <w:proofErr w:type="spellEnd"/>
      <w:r w:rsidRPr="00191430">
        <w:rPr>
          <w:lang w:eastAsia="ru-RU"/>
        </w:rPr>
        <w:t xml:space="preserve"> обозначает устойчивость результатов модели к изменениям исходных предпосылок или структуры данных. В русскоязычной литературе чаще всего используется перевод «робастность», однако иногда встречаются </w:t>
      </w:r>
      <w:r w:rsidRPr="00191430">
        <w:rPr>
          <w:lang w:eastAsia="ru-RU"/>
        </w:rPr>
        <w:lastRenderedPageBreak/>
        <w:t>варианты «устойчивость» или «надёжность». Подобное разнообразие терминов может создавать путаницу, поскольку устойчивость уже имеет строгое значение в теории динамических систем.</w:t>
      </w:r>
    </w:p>
    <w:p w14:paraId="3CEEDA99" w14:textId="2366F2E1" w:rsidR="00191430" w:rsidRPr="00191430" w:rsidRDefault="00191430" w:rsidP="00861301">
      <w:pPr>
        <w:pStyle w:val="a3"/>
        <w:rPr>
          <w:lang w:eastAsia="ru-RU"/>
        </w:rPr>
      </w:pPr>
      <w:r w:rsidRPr="00191430">
        <w:rPr>
          <w:lang w:eastAsia="ru-RU"/>
        </w:rPr>
        <w:t xml:space="preserve">Аналогичная ситуация наблюдается при переводе термина </w:t>
      </w:r>
      <w:proofErr w:type="spellStart"/>
      <w:r w:rsidRPr="00191430">
        <w:rPr>
          <w:lang w:eastAsia="ru-RU"/>
        </w:rPr>
        <w:t>learning</w:t>
      </w:r>
      <w:proofErr w:type="spellEnd"/>
      <w:r w:rsidRPr="00191430">
        <w:rPr>
          <w:lang w:eastAsia="ru-RU"/>
        </w:rPr>
        <w:t>, широко используемого в моделях адаптивных ожиданий и алгоритмах машинного обучения. В зависимости от контекста данный термин может переводиться как «обучение», «обучаемость», «обучающий процесс» или «адаптация». Неправильный выбор эквивалента способен изменить интерпретацию модели и исказить представление о механизмах формирования экономического поведения.</w:t>
      </w:r>
    </w:p>
    <w:p w14:paraId="7B97F894" w14:textId="10284CF1" w:rsidR="00E47ABB" w:rsidRPr="00775E3F" w:rsidRDefault="00E47ABB" w:rsidP="00562CB9">
      <w:pPr>
        <w:pStyle w:val="1"/>
      </w:pPr>
      <w:r w:rsidRPr="00775E3F">
        <w:t>Проблемы калькирования и интерференции</w:t>
      </w:r>
    </w:p>
    <w:p w14:paraId="48155B96" w14:textId="719895F6" w:rsidR="00775E3F" w:rsidRDefault="00E47ABB" w:rsidP="00562CB9">
      <w:pPr>
        <w:pStyle w:val="a3"/>
      </w:pPr>
      <w:r>
        <w:t>В современных русскоязычных публикациях нередко встречаются калькированные формы: «робастность», «</w:t>
      </w:r>
      <w:proofErr w:type="spellStart"/>
      <w:r>
        <w:t>бенчмаркинг</w:t>
      </w:r>
      <w:proofErr w:type="spellEnd"/>
      <w:r>
        <w:t xml:space="preserve">», «хеджирование». Некоторые заимствования закрепились в научном языке (например, «робастность» для </w:t>
      </w:r>
      <w:proofErr w:type="spellStart"/>
      <w:r>
        <w:t>robustness</w:t>
      </w:r>
      <w:proofErr w:type="spellEnd"/>
      <w:r>
        <w:t>), однако в ряде случаев калька приводит к неоправданному усложнению текста.</w:t>
      </w:r>
    </w:p>
    <w:p w14:paraId="6B2B640B" w14:textId="38A5B4C9" w:rsidR="006B2F29" w:rsidRDefault="00E47ABB" w:rsidP="00562CB9">
      <w:pPr>
        <w:pStyle w:val="a3"/>
      </w:pPr>
      <w:r>
        <w:t xml:space="preserve">Особую проблему представляет термин </w:t>
      </w:r>
      <w:proofErr w:type="spellStart"/>
      <w:r>
        <w:t>learning</w:t>
      </w:r>
      <w:proofErr w:type="spellEnd"/>
      <w:r>
        <w:t xml:space="preserve"> в моделях адаптивных ожиданий и алгоритмах машинного обучения. Перевод как «обучение» корректен в контексте алгоритмов, но в экономической динамике возможно использование термина «обучаемость» или «адаптация», что требует контекстуального анализа.</w:t>
      </w:r>
    </w:p>
    <w:p w14:paraId="6A4F197B" w14:textId="04FB9F63" w:rsidR="00775E3F" w:rsidRPr="00775E3F" w:rsidRDefault="00775E3F" w:rsidP="00562CB9">
      <w:pPr>
        <w:pStyle w:val="1"/>
      </w:pPr>
      <w:r w:rsidRPr="00775E3F">
        <w:t>Междисциплинарный аспект: математика, экономика и перевод</w:t>
      </w:r>
    </w:p>
    <w:p w14:paraId="4D14F114" w14:textId="77777777" w:rsidR="00775E3F" w:rsidRDefault="00775E3F" w:rsidP="00562CB9">
      <w:pPr>
        <w:pStyle w:val="a3"/>
      </w:pPr>
      <w:r>
        <w:t>Эконометрический те</w:t>
      </w:r>
      <w:proofErr w:type="gramStart"/>
      <w:r>
        <w:t>кст пр</w:t>
      </w:r>
      <w:proofErr w:type="gramEnd"/>
      <w:r>
        <w:t>едставляет собой синтез трёх языковых систем:</w:t>
      </w:r>
    </w:p>
    <w:p w14:paraId="37716D00" w14:textId="77777777" w:rsidR="00775E3F" w:rsidRDefault="00775E3F" w:rsidP="00562CB9">
      <w:pPr>
        <w:pStyle w:val="-"/>
      </w:pPr>
      <w:r>
        <w:t>естественного языка;</w:t>
      </w:r>
    </w:p>
    <w:p w14:paraId="156F5F96" w14:textId="77777777" w:rsidR="00775E3F" w:rsidRDefault="00775E3F" w:rsidP="00562CB9">
      <w:pPr>
        <w:pStyle w:val="-"/>
      </w:pPr>
      <w:r>
        <w:t>математической символики;</w:t>
      </w:r>
    </w:p>
    <w:p w14:paraId="6CB2B503" w14:textId="77777777" w:rsidR="00775E3F" w:rsidRDefault="00775E3F" w:rsidP="00562CB9">
      <w:pPr>
        <w:pStyle w:val="-"/>
        <w:spacing w:after="120"/>
      </w:pPr>
      <w:r>
        <w:t>специализированной экономической терминологии.</w:t>
      </w:r>
    </w:p>
    <w:p w14:paraId="1ED724C9" w14:textId="18A545C7" w:rsidR="00775E3F" w:rsidRDefault="00775E3F" w:rsidP="00562CB9">
      <w:pPr>
        <w:pStyle w:val="a3"/>
      </w:pPr>
      <w:r>
        <w:t xml:space="preserve">Переводчик должен учитывать, что формула — это не универсальный язык, лишённый интерпретации. Например, термин </w:t>
      </w:r>
      <w:proofErr w:type="spellStart"/>
      <w:r>
        <w:rPr>
          <w:rStyle w:val="ad"/>
        </w:rPr>
        <w:t>equilibrium</w:t>
      </w:r>
      <w:proofErr w:type="spellEnd"/>
      <w:r>
        <w:t xml:space="preserve"> в моделях кооперативного поведения может обозначать равновесие по </w:t>
      </w:r>
      <w:proofErr w:type="spellStart"/>
      <w:r>
        <w:t>Нэшу</w:t>
      </w:r>
      <w:proofErr w:type="spellEnd"/>
      <w:r>
        <w:t xml:space="preserve"> </w:t>
      </w:r>
      <w:r w:rsidR="005D79D7" w:rsidRPr="005D79D7">
        <w:t>[5]</w:t>
      </w:r>
      <w:r>
        <w:t xml:space="preserve"> или конкурентное равновесие </w:t>
      </w:r>
      <w:r w:rsidR="005D79D7" w:rsidRPr="005D79D7">
        <w:t>[6]</w:t>
      </w:r>
      <w:r>
        <w:t xml:space="preserve">. Выбор русского эквивалента («равновесие </w:t>
      </w:r>
      <w:proofErr w:type="spellStart"/>
      <w:r>
        <w:t>Нэша</w:t>
      </w:r>
      <w:proofErr w:type="spellEnd"/>
      <w:r>
        <w:t>», «</w:t>
      </w:r>
      <w:proofErr w:type="spellStart"/>
      <w:r>
        <w:t>вальрасовское</w:t>
      </w:r>
      <w:proofErr w:type="spellEnd"/>
      <w:r>
        <w:t xml:space="preserve"> равновесие») требует точной концептуальной идентификации.</w:t>
      </w:r>
    </w:p>
    <w:p w14:paraId="3EAAEDB0" w14:textId="77777777" w:rsidR="00775E3F" w:rsidRPr="00191430" w:rsidRDefault="00775E3F" w:rsidP="00861301">
      <w:pPr>
        <w:pStyle w:val="a3"/>
      </w:pPr>
      <w:r>
        <w:t xml:space="preserve">В моделировании фондового рынка перевод влияет на интерпретацию кооперативных стратегий, распределения выигрышей и устойчивости коалиций. Терминологическая неточность способна изменить </w:t>
      </w:r>
      <w:r w:rsidRPr="00191430">
        <w:t>экономический смысл всей модели.</w:t>
      </w:r>
    </w:p>
    <w:p w14:paraId="6630822A" w14:textId="77777777" w:rsidR="00191430" w:rsidRPr="00191430" w:rsidRDefault="00191430" w:rsidP="00861301">
      <w:pPr>
        <w:pStyle w:val="a3"/>
        <w:rPr>
          <w:lang w:eastAsia="ru-RU"/>
        </w:rPr>
      </w:pPr>
      <w:r w:rsidRPr="00191430">
        <w:rPr>
          <w:lang w:eastAsia="ru-RU"/>
        </w:rPr>
        <w:t>Специфика перевода текстов по эконометрике заключается также в том, что такие тексты представляют собой гибридную форму научной коммуникации. Они объединяют элементы естественного языка, математической символики и специализированной экономической терминологии. Переводчик должен учитывать, что математическая формула сама по себе не является полностью универсальным языком: её интерпретация зависит от контекста и используемой научной традиции.</w:t>
      </w:r>
    </w:p>
    <w:p w14:paraId="6DFE62B1" w14:textId="77777777" w:rsidR="00191430" w:rsidRDefault="00191430" w:rsidP="00861301">
      <w:pPr>
        <w:pStyle w:val="a3"/>
        <w:rPr>
          <w:lang w:eastAsia="ru-RU"/>
        </w:rPr>
      </w:pPr>
      <w:r w:rsidRPr="00191430">
        <w:rPr>
          <w:lang w:eastAsia="ru-RU"/>
        </w:rPr>
        <w:t xml:space="preserve">Например, одна и та же математическая запись может иметь различные интерпретации в теории игр, </w:t>
      </w:r>
      <w:r w:rsidRPr="00191430">
        <w:rPr>
          <w:lang w:eastAsia="ru-RU"/>
        </w:rPr>
        <w:lastRenderedPageBreak/>
        <w:t>микроэкономике или финансовой экономике. Поэтому перевод эконометрического текста требует не только лингвистической компетенции, но и понимания используемого математического аппарата.</w:t>
      </w:r>
    </w:p>
    <w:p w14:paraId="480A3512" w14:textId="4D3B8A16" w:rsidR="0089519A" w:rsidRDefault="0089519A" w:rsidP="0089519A">
      <w:pPr>
        <w:pStyle w:val="1"/>
      </w:pPr>
      <w:r>
        <w:t>Перевод терминалогии в моделях финансового рынка</w:t>
      </w:r>
    </w:p>
    <w:p w14:paraId="559A77FA" w14:textId="32F3998F" w:rsidR="0089519A" w:rsidRDefault="0089519A" w:rsidP="00861301">
      <w:pPr>
        <w:pStyle w:val="a3"/>
        <w:rPr>
          <w:lang w:eastAsia="ru-RU"/>
        </w:rPr>
      </w:pPr>
      <w:r>
        <w:rPr>
          <w:lang w:eastAsia="ru-RU"/>
        </w:rPr>
        <w:t>Особое значение проблема терминологической эквивалентности приобретает при переводе исследований, посвящённых математическому моделированию финансовых рынков. В таких работах активно используются концепции теории игр, микроэкономики, теории вероятностей и статистики, что формирует сложную междисциплинарную систему терминов. Переводчик должен учитывать не только лингвистические особенности исходного текста, но и содержание используемых моделей, поскольку многие термины имеют строго определённый теоретический смысл.</w:t>
      </w:r>
    </w:p>
    <w:p w14:paraId="01271943" w14:textId="4656C0EA" w:rsidR="0089519A" w:rsidRDefault="0089519A" w:rsidP="00861301">
      <w:pPr>
        <w:pStyle w:val="a3"/>
        <w:rPr>
          <w:lang w:eastAsia="ru-RU"/>
        </w:rPr>
      </w:pPr>
      <w:r>
        <w:rPr>
          <w:lang w:eastAsia="ru-RU"/>
        </w:rPr>
        <w:t xml:space="preserve">Одной из наиболее распространённых категорий терминов в исследованиях фондового рынка являются понятия, связанные со стратегическим поведением экономических агентов. В теории игр термин </w:t>
      </w:r>
      <w:proofErr w:type="spellStart"/>
      <w:r>
        <w:rPr>
          <w:lang w:eastAsia="ru-RU"/>
        </w:rPr>
        <w:t>strategy</w:t>
      </w:r>
      <w:proofErr w:type="spellEnd"/>
      <w:r>
        <w:rPr>
          <w:lang w:eastAsia="ru-RU"/>
        </w:rPr>
        <w:t xml:space="preserve"> обозначает полный план действий игрока во всех возможных ситуациях игры. В русскоязычной научной литературе данный термин традиционно переводится как «стратегия». Однако в экономических исследованиях он может иметь более широкий смысл и обозначать правило принятия инвестиционных решений или алгоритм поведения участника рынка. В связи с этим переводчик должен учитывать контекст модели и используемый теоретический аппарат.</w:t>
      </w:r>
    </w:p>
    <w:p w14:paraId="411FB105" w14:textId="0933B32B" w:rsidR="0089519A" w:rsidRDefault="0089519A" w:rsidP="00861301">
      <w:pPr>
        <w:pStyle w:val="a3"/>
        <w:rPr>
          <w:lang w:eastAsia="ru-RU"/>
        </w:rPr>
      </w:pPr>
      <w:r>
        <w:rPr>
          <w:lang w:eastAsia="ru-RU"/>
        </w:rPr>
        <w:t xml:space="preserve">Не менее важным является корректный перевод терминов, описывающих равновесные состояния системы. В экономической теории широко используется термин </w:t>
      </w:r>
      <w:proofErr w:type="spellStart"/>
      <w:r>
        <w:rPr>
          <w:lang w:eastAsia="ru-RU"/>
        </w:rPr>
        <w:t>equilibrium</w:t>
      </w:r>
      <w:proofErr w:type="spellEnd"/>
      <w:r>
        <w:rPr>
          <w:lang w:eastAsia="ru-RU"/>
        </w:rPr>
        <w:t xml:space="preserve">, который обычно переводится как «равновесие». Однако в различных моделях этот термин может иметь разные интерпретации. Например, в теории игр речь может идти о равновесии по </w:t>
      </w:r>
      <w:proofErr w:type="spellStart"/>
      <w:r>
        <w:rPr>
          <w:lang w:eastAsia="ru-RU"/>
        </w:rPr>
        <w:t>Нэшу</w:t>
      </w:r>
      <w:proofErr w:type="spellEnd"/>
      <w:r>
        <w:rPr>
          <w:lang w:eastAsia="ru-RU"/>
        </w:rPr>
        <w:t xml:space="preserve">, тогда как в моделях общего экономического равновесия используется понятие </w:t>
      </w:r>
      <w:proofErr w:type="spellStart"/>
      <w:r>
        <w:rPr>
          <w:lang w:eastAsia="ru-RU"/>
        </w:rPr>
        <w:t>вальрасовского</w:t>
      </w:r>
      <w:proofErr w:type="spellEnd"/>
      <w:r>
        <w:rPr>
          <w:lang w:eastAsia="ru-RU"/>
        </w:rPr>
        <w:t xml:space="preserve"> равновесия. Неправильная идентификация типа равновесия способна привести к искажению интерпретации результатов модели.</w:t>
      </w:r>
    </w:p>
    <w:p w14:paraId="038CB50C" w14:textId="77D6D545" w:rsidR="0089519A" w:rsidRDefault="0089519A" w:rsidP="00861301">
      <w:pPr>
        <w:pStyle w:val="a3"/>
        <w:rPr>
          <w:lang w:eastAsia="ru-RU"/>
        </w:rPr>
      </w:pPr>
      <w:r>
        <w:rPr>
          <w:lang w:eastAsia="ru-RU"/>
        </w:rPr>
        <w:t xml:space="preserve">Особую сложность представляет перевод терминов, связанных с оценкой результатов экономических стратегий. В теории игр и экономическом моделировании широко используется термин </w:t>
      </w:r>
      <w:proofErr w:type="spellStart"/>
      <w:r>
        <w:rPr>
          <w:lang w:eastAsia="ru-RU"/>
        </w:rPr>
        <w:t>payoff</w:t>
      </w:r>
      <w:proofErr w:type="spellEnd"/>
      <w:r>
        <w:rPr>
          <w:lang w:eastAsia="ru-RU"/>
        </w:rPr>
        <w:t xml:space="preserve">, обозначающий количественный результат стратегии игрока. В зависимости от контекста он может переводиться как «выигрыш», «выплата» или «результат». Однако перевод как «прибыль» не всегда является корректным, поскольку значение </w:t>
      </w:r>
      <w:proofErr w:type="spellStart"/>
      <w:r>
        <w:rPr>
          <w:lang w:eastAsia="ru-RU"/>
        </w:rPr>
        <w:t>payoff</w:t>
      </w:r>
      <w:proofErr w:type="spellEnd"/>
      <w:r>
        <w:rPr>
          <w:lang w:eastAsia="ru-RU"/>
        </w:rPr>
        <w:t xml:space="preserve"> может быть отрицательным и не обязательно связано с получением финансовой выгоды.</w:t>
      </w:r>
    </w:p>
    <w:p w14:paraId="225AA504" w14:textId="4149F3F3" w:rsidR="00191430" w:rsidRDefault="0089519A" w:rsidP="00861301">
      <w:pPr>
        <w:pStyle w:val="a3"/>
        <w:rPr>
          <w:lang w:eastAsia="ru-RU"/>
        </w:rPr>
      </w:pPr>
      <w:r w:rsidRPr="0089519A">
        <w:rPr>
          <w:lang w:eastAsia="ru-RU"/>
        </w:rPr>
        <w:t xml:space="preserve">Таким образом, перевод текстов, посвящённых моделированию финансовых рынков, требует не только владения языковыми средствами, но и понимания экономико-математического аппарата. Только при учёте теоретического контекста и терминологической </w:t>
      </w:r>
      <w:proofErr w:type="gramStart"/>
      <w:r w:rsidRPr="0089519A">
        <w:rPr>
          <w:lang w:eastAsia="ru-RU"/>
        </w:rPr>
        <w:t>системности</w:t>
      </w:r>
      <w:proofErr w:type="gramEnd"/>
      <w:r w:rsidRPr="0089519A">
        <w:rPr>
          <w:lang w:eastAsia="ru-RU"/>
        </w:rPr>
        <w:t xml:space="preserve"> возможно обеспечить адекватную передачу содержания научного исследования и сохранить логическую структуру исходного текста.</w:t>
      </w:r>
    </w:p>
    <w:p w14:paraId="754EAB4D" w14:textId="31A98567" w:rsidR="0089519A" w:rsidRPr="0089519A" w:rsidRDefault="00775E3F" w:rsidP="0089519A">
      <w:pPr>
        <w:pStyle w:val="1"/>
      </w:pPr>
      <w:r w:rsidRPr="00775E3F">
        <w:lastRenderedPageBreak/>
        <w:t>Методологические рекомендации</w:t>
      </w:r>
    </w:p>
    <w:p w14:paraId="0CDB8443" w14:textId="77777777" w:rsidR="00775E3F" w:rsidRDefault="00775E3F" w:rsidP="00562CB9">
      <w:pPr>
        <w:pStyle w:val="a3"/>
      </w:pPr>
      <w:r>
        <w:t>Для обеспечения терминологической однозначности предлагается:</w:t>
      </w:r>
    </w:p>
    <w:p w14:paraId="5C6DBC74" w14:textId="4C99D478" w:rsidR="00775E3F" w:rsidRDefault="00775E3F" w:rsidP="00562CB9">
      <w:pPr>
        <w:pStyle w:val="-"/>
        <w:numPr>
          <w:ilvl w:val="0"/>
          <w:numId w:val="25"/>
        </w:numPr>
        <w:ind w:left="714" w:hanging="357"/>
      </w:pPr>
      <w:r w:rsidRPr="00775E3F">
        <w:rPr>
          <w:rStyle w:val="ac"/>
          <w:b w:val="0"/>
          <w:bCs w:val="0"/>
        </w:rPr>
        <w:t>Опора на авторитетные источники</w:t>
      </w:r>
      <w:r>
        <w:t xml:space="preserve"> – глоссарии международных организаций, учебники ведущих экономистов.</w:t>
      </w:r>
    </w:p>
    <w:p w14:paraId="78E39E3B" w14:textId="079B30FC" w:rsidR="00775E3F" w:rsidRDefault="00775E3F" w:rsidP="00562CB9">
      <w:pPr>
        <w:pStyle w:val="-"/>
        <w:numPr>
          <w:ilvl w:val="0"/>
          <w:numId w:val="25"/>
        </w:numPr>
        <w:ind w:left="714" w:hanging="357"/>
      </w:pPr>
      <w:r w:rsidRPr="00775E3F">
        <w:rPr>
          <w:rStyle w:val="ac"/>
          <w:b w:val="0"/>
          <w:bCs w:val="0"/>
        </w:rPr>
        <w:t>Системность перевода</w:t>
      </w:r>
      <w:r>
        <w:t xml:space="preserve"> – единый перевод термина в рамках статьи или диссертации.</w:t>
      </w:r>
    </w:p>
    <w:p w14:paraId="4F3A3372" w14:textId="77777777" w:rsidR="00775E3F" w:rsidRDefault="00775E3F" w:rsidP="00562CB9">
      <w:pPr>
        <w:pStyle w:val="-"/>
        <w:numPr>
          <w:ilvl w:val="0"/>
          <w:numId w:val="25"/>
        </w:numPr>
        <w:ind w:left="714" w:hanging="357"/>
      </w:pPr>
      <w:proofErr w:type="spellStart"/>
      <w:r w:rsidRPr="00775E3F">
        <w:rPr>
          <w:rStyle w:val="ac"/>
          <w:b w:val="0"/>
          <w:bCs w:val="0"/>
        </w:rPr>
        <w:t>Дефиниционный</w:t>
      </w:r>
      <w:proofErr w:type="spellEnd"/>
      <w:r w:rsidRPr="00775E3F">
        <w:rPr>
          <w:rStyle w:val="ac"/>
          <w:b w:val="0"/>
          <w:bCs w:val="0"/>
        </w:rPr>
        <w:t xml:space="preserve"> комментарий</w:t>
      </w:r>
      <w:r>
        <w:t xml:space="preserve"> при первом употреблении термина.</w:t>
      </w:r>
    </w:p>
    <w:p w14:paraId="06D4798E" w14:textId="77777777" w:rsidR="00775E3F" w:rsidRDefault="00775E3F" w:rsidP="00562CB9">
      <w:pPr>
        <w:pStyle w:val="-"/>
        <w:numPr>
          <w:ilvl w:val="0"/>
          <w:numId w:val="25"/>
        </w:numPr>
        <w:ind w:left="714" w:hanging="357"/>
      </w:pPr>
      <w:r w:rsidRPr="00775E3F">
        <w:rPr>
          <w:rStyle w:val="ac"/>
          <w:b w:val="0"/>
          <w:bCs w:val="0"/>
        </w:rPr>
        <w:t>Согласование с российской научной традицией</w:t>
      </w:r>
      <w:r>
        <w:t>, принятой в эконометрике и теории игр.</w:t>
      </w:r>
    </w:p>
    <w:p w14:paraId="51049325" w14:textId="33CBBDA7" w:rsidR="00775E3F" w:rsidRDefault="00775E3F" w:rsidP="00562CB9">
      <w:pPr>
        <w:pStyle w:val="-"/>
        <w:numPr>
          <w:ilvl w:val="0"/>
          <w:numId w:val="25"/>
        </w:numPr>
        <w:ind w:left="714" w:hanging="357"/>
      </w:pPr>
      <w:r w:rsidRPr="00775E3F">
        <w:rPr>
          <w:rStyle w:val="ac"/>
          <w:b w:val="0"/>
          <w:bCs w:val="0"/>
        </w:rPr>
        <w:t>Создание авторского терминологического словаря проекта</w:t>
      </w:r>
      <w:r>
        <w:t>, особенно при междисциплинарных исследованиях.</w:t>
      </w:r>
    </w:p>
    <w:p w14:paraId="5A7AAB0E" w14:textId="21EF9F8C" w:rsidR="00775E3F" w:rsidRPr="00775E3F" w:rsidRDefault="00775E3F" w:rsidP="00562CB9">
      <w:pPr>
        <w:pStyle w:val="1"/>
      </w:pPr>
      <w:r w:rsidRPr="00775E3F">
        <w:t>Заключение</w:t>
      </w:r>
    </w:p>
    <w:p w14:paraId="079427AE" w14:textId="24E473F3" w:rsidR="00775E3F" w:rsidRDefault="00775E3F" w:rsidP="00562CB9">
      <w:pPr>
        <w:pStyle w:val="a3"/>
      </w:pPr>
      <w:r>
        <w:t>Проблемы эквивалентности и терминологической однозначности при переводе текстов по эконометрике и математическому моделированию имеют не только лингвистический, но и методологический характер. Неправильная интерпретация терминов способна привести к искажению теоретических выводов и практических рекомендаций.</w:t>
      </w:r>
    </w:p>
    <w:p w14:paraId="4C9988F5" w14:textId="7BC7099B" w:rsidR="0089519A" w:rsidRDefault="0089519A" w:rsidP="00562CB9">
      <w:pPr>
        <w:pStyle w:val="a3"/>
      </w:pPr>
      <w:r>
        <w:t>В условиях глобализации науки и активного обмена результатами исследований проблема корректного перевода научных текстов приобретает стратегическое значение. От точности передачи терминологии зависит возможность интеграции национальных научных школ в международный академический дискурс. Особенно это актуально для областей, где активно используются формализованные модели и количественные методы анализа.</w:t>
      </w:r>
    </w:p>
    <w:p w14:paraId="09AD8C1D" w14:textId="59C2E552" w:rsidR="00775E3F" w:rsidRDefault="00775E3F" w:rsidP="00562CB9">
      <w:pPr>
        <w:pStyle w:val="a3"/>
      </w:pPr>
      <w:r>
        <w:t>Междисциплинарный характер исследований, посвящённых моделированию кооперативного поведения участников фондового рынка, требует от переводчика глубокого понимания математического аппарата и экономической теории. Обеспечение функционально-семантической эквивалентности становится ключевым условием адекватного научного перевода и интеграции отечественных исследований в международный академический контекст.</w:t>
      </w:r>
    </w:p>
    <w:p w14:paraId="2E5CD294" w14:textId="55D892D2" w:rsidR="0069764F" w:rsidRPr="00E3648F" w:rsidRDefault="0001137B" w:rsidP="00562CB9">
      <w:pPr>
        <w:pStyle w:val="5"/>
      </w:pPr>
      <w:r w:rsidRPr="0069764F">
        <w:t>Список</w:t>
      </w:r>
      <w:r w:rsidRPr="00E3648F">
        <w:rPr>
          <w:spacing w:val="-3"/>
        </w:rPr>
        <w:t xml:space="preserve"> </w:t>
      </w:r>
      <w:r w:rsidRPr="0069764F">
        <w:t>литературы</w:t>
      </w:r>
    </w:p>
    <w:p w14:paraId="5BB649DA" w14:textId="4555E9A0" w:rsidR="00D72B0E" w:rsidRPr="00562CB9" w:rsidRDefault="00E47ABB" w:rsidP="00861301">
      <w:pPr>
        <w:pStyle w:val="a0"/>
      </w:pPr>
      <w:proofErr w:type="spellStart"/>
      <w:r w:rsidRPr="00A7645E">
        <w:rPr>
          <w:lang w:val="en-US"/>
        </w:rPr>
        <w:t>Newmark</w:t>
      </w:r>
      <w:proofErr w:type="spellEnd"/>
      <w:r w:rsidRPr="00A7645E">
        <w:rPr>
          <w:lang w:val="en-US"/>
        </w:rPr>
        <w:t xml:space="preserve"> P. The linguistic and communicative stages in translation theory //</w:t>
      </w:r>
      <w:r w:rsidR="00562CB9" w:rsidRPr="00A7645E">
        <w:rPr>
          <w:lang w:val="en-US"/>
        </w:rPr>
        <w:t xml:space="preserve"> </w:t>
      </w:r>
      <w:r w:rsidRPr="00A7645E">
        <w:rPr>
          <w:lang w:val="en-US"/>
        </w:rPr>
        <w:t xml:space="preserve">The </w:t>
      </w:r>
      <w:proofErr w:type="spellStart"/>
      <w:r w:rsidRPr="00A7645E">
        <w:rPr>
          <w:lang w:val="en-US"/>
        </w:rPr>
        <w:t>Routledge</w:t>
      </w:r>
      <w:proofErr w:type="spellEnd"/>
      <w:r w:rsidRPr="00A7645E">
        <w:rPr>
          <w:lang w:val="en-US"/>
        </w:rPr>
        <w:t xml:space="preserve"> companion to translation studies. </w:t>
      </w:r>
      <w:proofErr w:type="spellStart"/>
      <w:r w:rsidR="00562CB9">
        <w:t>Routledge</w:t>
      </w:r>
      <w:proofErr w:type="spellEnd"/>
      <w:r w:rsidR="00562CB9">
        <w:t xml:space="preserve">, 2009. </w:t>
      </w:r>
      <w:r w:rsidRPr="00562CB9">
        <w:t>С. 34-49.</w:t>
      </w:r>
    </w:p>
    <w:p w14:paraId="582F799D" w14:textId="5B44280A" w:rsidR="005D79D7" w:rsidRPr="00562CB9" w:rsidRDefault="005D79D7" w:rsidP="00861301">
      <w:pPr>
        <w:pStyle w:val="a0"/>
      </w:pPr>
      <w:r w:rsidRPr="00A7645E">
        <w:rPr>
          <w:lang w:val="en-US"/>
        </w:rPr>
        <w:t>Gonzalez-</w:t>
      </w:r>
      <w:proofErr w:type="spellStart"/>
      <w:r w:rsidRPr="00A7645E">
        <w:rPr>
          <w:lang w:val="en-US"/>
        </w:rPr>
        <w:t>Eiras</w:t>
      </w:r>
      <w:proofErr w:type="spellEnd"/>
      <w:r w:rsidRPr="00A7645E">
        <w:rPr>
          <w:lang w:val="en-US"/>
        </w:rPr>
        <w:t xml:space="preserve"> M., </w:t>
      </w:r>
      <w:proofErr w:type="spellStart"/>
      <w:r w:rsidRPr="00A7645E">
        <w:rPr>
          <w:lang w:val="en-US"/>
        </w:rPr>
        <w:t>Niepelt</w:t>
      </w:r>
      <w:proofErr w:type="spellEnd"/>
      <w:r w:rsidRPr="00A7645E">
        <w:rPr>
          <w:lang w:val="en-US"/>
        </w:rPr>
        <w:t xml:space="preserve"> D. Politico-economic equivalence //</w:t>
      </w:r>
      <w:r w:rsidR="00562CB9" w:rsidRPr="00A7645E">
        <w:rPr>
          <w:lang w:val="en-US"/>
        </w:rPr>
        <w:t xml:space="preserve"> </w:t>
      </w:r>
      <w:r w:rsidRPr="00A7645E">
        <w:rPr>
          <w:lang w:val="en-US"/>
        </w:rPr>
        <w:t xml:space="preserve">Review of Economic Dynamics. </w:t>
      </w:r>
      <w:r w:rsidR="00562CB9">
        <w:t xml:space="preserve">2015. </w:t>
      </w:r>
      <w:r w:rsidRPr="00562CB9">
        <w:t>Т. 18. №. 4. С. 843-862.</w:t>
      </w:r>
    </w:p>
    <w:p w14:paraId="78E7F07D" w14:textId="5BCF5960" w:rsidR="005D79D7" w:rsidRPr="00562CB9" w:rsidRDefault="005D79D7" w:rsidP="00861301">
      <w:pPr>
        <w:pStyle w:val="a0"/>
      </w:pPr>
      <w:proofErr w:type="spellStart"/>
      <w:r w:rsidRPr="00A7645E">
        <w:rPr>
          <w:lang w:val="en-US"/>
        </w:rPr>
        <w:t>Chatterjee</w:t>
      </w:r>
      <w:proofErr w:type="spellEnd"/>
      <w:r w:rsidRPr="00A7645E">
        <w:rPr>
          <w:lang w:val="en-US"/>
        </w:rPr>
        <w:t xml:space="preserve"> P.</w:t>
      </w:r>
      <w:r w:rsidR="00562CB9" w:rsidRPr="00A7645E">
        <w:rPr>
          <w:lang w:val="en-US"/>
        </w:rPr>
        <w:t xml:space="preserve">K., </w:t>
      </w:r>
      <w:proofErr w:type="spellStart"/>
      <w:r w:rsidR="00562CB9" w:rsidRPr="00A7645E">
        <w:rPr>
          <w:lang w:val="en-US"/>
        </w:rPr>
        <w:t>Doering</w:t>
      </w:r>
      <w:proofErr w:type="spellEnd"/>
      <w:r w:rsidR="00562CB9" w:rsidRPr="00A7645E">
        <w:rPr>
          <w:lang w:val="en-US"/>
        </w:rPr>
        <w:t xml:space="preserve"> R.</w:t>
      </w:r>
      <w:r w:rsidRPr="00A7645E">
        <w:rPr>
          <w:lang w:val="en-US"/>
        </w:rPr>
        <w:t>R. The future of microelectronics //</w:t>
      </w:r>
      <w:r w:rsidR="00807262" w:rsidRPr="00A7645E">
        <w:rPr>
          <w:lang w:val="en-US"/>
        </w:rPr>
        <w:t xml:space="preserve"> </w:t>
      </w:r>
      <w:r w:rsidRPr="00A7645E">
        <w:rPr>
          <w:lang w:val="en-US"/>
        </w:rPr>
        <w:t xml:space="preserve">Proceedings of the IEEE. 2002. </w:t>
      </w:r>
      <w:r w:rsidRPr="00562CB9">
        <w:t>Т. 86. №. 1. С. 176-183.</w:t>
      </w:r>
    </w:p>
    <w:p w14:paraId="34F0B5FD" w14:textId="1BF6E0D7" w:rsidR="005D79D7" w:rsidRPr="00562CB9" w:rsidRDefault="005D79D7" w:rsidP="00861301">
      <w:pPr>
        <w:pStyle w:val="a0"/>
      </w:pPr>
      <w:proofErr w:type="spellStart"/>
      <w:r w:rsidRPr="00A7645E">
        <w:rPr>
          <w:lang w:val="en-US"/>
        </w:rPr>
        <w:t>Carfì</w:t>
      </w:r>
      <w:proofErr w:type="spellEnd"/>
      <w:r w:rsidRPr="00A7645E">
        <w:rPr>
          <w:lang w:val="en-US"/>
        </w:rPr>
        <w:t xml:space="preserve"> D. Payoff space in-games //</w:t>
      </w:r>
      <w:r w:rsidR="00562CB9" w:rsidRPr="00A7645E">
        <w:rPr>
          <w:lang w:val="en-US"/>
        </w:rPr>
        <w:t xml:space="preserve"> </w:t>
      </w:r>
      <w:r w:rsidRPr="00A7645E">
        <w:rPr>
          <w:lang w:val="en-US"/>
        </w:rPr>
        <w:t xml:space="preserve">APPS. </w:t>
      </w:r>
      <w:proofErr w:type="spellStart"/>
      <w:r w:rsidRPr="00562CB9">
        <w:t>Applied</w:t>
      </w:r>
      <w:proofErr w:type="spellEnd"/>
      <w:r w:rsidRPr="00562CB9">
        <w:t xml:space="preserve"> </w:t>
      </w:r>
      <w:proofErr w:type="spellStart"/>
      <w:r w:rsidRPr="00562CB9">
        <w:t>Sciences</w:t>
      </w:r>
      <w:proofErr w:type="spellEnd"/>
      <w:r w:rsidRPr="00562CB9">
        <w:t>.</w:t>
      </w:r>
      <w:r w:rsidR="00562CB9">
        <w:t xml:space="preserve"> 2009. Т. </w:t>
      </w:r>
      <w:r w:rsidRPr="00562CB9">
        <w:t>11. С. 35-47.</w:t>
      </w:r>
    </w:p>
    <w:p w14:paraId="6E4F7453" w14:textId="2C44F7C2" w:rsidR="005D79D7" w:rsidRPr="00562CB9" w:rsidRDefault="005D79D7" w:rsidP="00861301">
      <w:pPr>
        <w:pStyle w:val="a0"/>
      </w:pPr>
      <w:proofErr w:type="spellStart"/>
      <w:r w:rsidRPr="00562CB9">
        <w:t>Майерсон</w:t>
      </w:r>
      <w:proofErr w:type="spellEnd"/>
      <w:r w:rsidRPr="00562CB9">
        <w:t xml:space="preserve"> Р. Равновесие по </w:t>
      </w:r>
      <w:proofErr w:type="spellStart"/>
      <w:r w:rsidRPr="00562CB9">
        <w:t>Нэшу</w:t>
      </w:r>
      <w:proofErr w:type="spellEnd"/>
      <w:r w:rsidRPr="00562CB9">
        <w:t xml:space="preserve"> и история экономичес</w:t>
      </w:r>
      <w:r w:rsidR="00562CB9">
        <w:t xml:space="preserve">кой науки // Вопросы экономики. </w:t>
      </w:r>
      <w:r w:rsidRPr="00562CB9">
        <w:t xml:space="preserve">2010. </w:t>
      </w:r>
      <w:r w:rsidR="00562CB9">
        <w:t xml:space="preserve">№. 6. </w:t>
      </w:r>
      <w:r w:rsidRPr="00562CB9">
        <w:t>С. 26-43.</w:t>
      </w:r>
    </w:p>
    <w:p w14:paraId="7F2F1239" w14:textId="1CFB3186" w:rsidR="00562CB9" w:rsidRDefault="005D79D7" w:rsidP="00861301">
      <w:pPr>
        <w:pStyle w:val="a0"/>
      </w:pPr>
      <w:proofErr w:type="spellStart"/>
      <w:r w:rsidRPr="00A7645E">
        <w:rPr>
          <w:lang w:val="en-US"/>
        </w:rPr>
        <w:t>Walras</w:t>
      </w:r>
      <w:proofErr w:type="spellEnd"/>
      <w:r w:rsidRPr="00A7645E">
        <w:rPr>
          <w:lang w:val="en-US"/>
        </w:rPr>
        <w:t xml:space="preserve"> L. Elements of pure economics: Or the theory of social wealth. </w:t>
      </w:r>
      <w:proofErr w:type="spellStart"/>
      <w:r w:rsidRPr="00562CB9">
        <w:t>Routledge</w:t>
      </w:r>
      <w:proofErr w:type="spellEnd"/>
      <w:r w:rsidRPr="00562CB9">
        <w:t>, 2013.</w:t>
      </w:r>
    </w:p>
    <w:p w14:paraId="1549F424" w14:textId="43557D62" w:rsidR="00191430" w:rsidRPr="00191430" w:rsidRDefault="00861301" w:rsidP="00861301">
      <w:pPr>
        <w:pStyle w:val="a0"/>
        <w:rPr>
          <w:color w:val="222222"/>
          <w:szCs w:val="16"/>
          <w:shd w:val="clear" w:color="auto" w:fill="FFFFFF"/>
        </w:rPr>
      </w:pPr>
      <w:proofErr w:type="spellStart"/>
      <w:r>
        <w:rPr>
          <w:color w:val="222222"/>
          <w:szCs w:val="16"/>
          <w:shd w:val="clear" w:color="auto" w:fill="FFFFFF"/>
        </w:rPr>
        <w:t>Назирова</w:t>
      </w:r>
      <w:proofErr w:type="spellEnd"/>
      <w:r>
        <w:rPr>
          <w:color w:val="222222"/>
          <w:szCs w:val="16"/>
          <w:shd w:val="clear" w:color="auto" w:fill="FFFFFF"/>
        </w:rPr>
        <w:t xml:space="preserve"> Ш.</w:t>
      </w:r>
      <w:r w:rsidR="00191430" w:rsidRPr="00191430">
        <w:rPr>
          <w:color w:val="222222"/>
          <w:szCs w:val="16"/>
          <w:shd w:val="clear" w:color="auto" w:fill="FFFFFF"/>
        </w:rPr>
        <w:t xml:space="preserve">М. Теория формальной и динамической эквивалентности в </w:t>
      </w:r>
      <w:proofErr w:type="spellStart"/>
      <w:r w:rsidR="00191430" w:rsidRPr="00191430">
        <w:rPr>
          <w:color w:val="222222"/>
          <w:szCs w:val="16"/>
          <w:shd w:val="clear" w:color="auto" w:fill="FFFFFF"/>
        </w:rPr>
        <w:t>перевоведении</w:t>
      </w:r>
      <w:proofErr w:type="spellEnd"/>
      <w:r w:rsidR="00191430" w:rsidRPr="00191430">
        <w:rPr>
          <w:color w:val="222222"/>
          <w:szCs w:val="16"/>
          <w:shd w:val="clear" w:color="auto" w:fill="FFFFFF"/>
        </w:rPr>
        <w:t>: прагматический инвариант //Будущее науки-2016. 2016. С. 311-315.</w:t>
      </w:r>
    </w:p>
    <w:p w14:paraId="41517645" w14:textId="36B0B777" w:rsidR="00191430" w:rsidRDefault="00861301" w:rsidP="00861301">
      <w:pPr>
        <w:pStyle w:val="a0"/>
        <w:rPr>
          <w:color w:val="222222"/>
          <w:szCs w:val="16"/>
          <w:shd w:val="clear" w:color="auto" w:fill="FFFFFF"/>
        </w:rPr>
      </w:pPr>
      <w:r>
        <w:rPr>
          <w:color w:val="222222"/>
          <w:szCs w:val="16"/>
          <w:shd w:val="clear" w:color="auto" w:fill="FFFFFF"/>
        </w:rPr>
        <w:t>Леонов С.</w:t>
      </w:r>
      <w:r w:rsidR="00191430" w:rsidRPr="00191430">
        <w:rPr>
          <w:color w:val="222222"/>
          <w:szCs w:val="16"/>
          <w:shd w:val="clear" w:color="auto" w:fill="FFFFFF"/>
        </w:rPr>
        <w:t>А. Вопросы эквивалентности в теории перевода //Филология и лингводидактика в современном научном и образов</w:t>
      </w:r>
      <w:r>
        <w:rPr>
          <w:color w:val="222222"/>
          <w:szCs w:val="16"/>
          <w:shd w:val="clear" w:color="auto" w:fill="FFFFFF"/>
        </w:rPr>
        <w:t xml:space="preserve">ательном пространстве. 2021. </w:t>
      </w:r>
      <w:r w:rsidR="00191430" w:rsidRPr="00191430">
        <w:rPr>
          <w:color w:val="222222"/>
          <w:szCs w:val="16"/>
          <w:shd w:val="clear" w:color="auto" w:fill="FFFFFF"/>
        </w:rPr>
        <w:t>С. 52-66.</w:t>
      </w:r>
    </w:p>
    <w:p w14:paraId="46497B0A" w14:textId="77777777" w:rsidR="00861301" w:rsidRPr="00191430" w:rsidRDefault="00861301" w:rsidP="00191430">
      <w:pPr>
        <w:spacing w:after="225" w:line="180" w:lineRule="atLeast"/>
        <w:ind w:left="284" w:hanging="284"/>
        <w:rPr>
          <w:sz w:val="16"/>
          <w:szCs w:val="16"/>
        </w:rPr>
        <w:sectPr w:rsidR="00861301" w:rsidRPr="00191430" w:rsidSect="00562CB9">
          <w:type w:val="continuous"/>
          <w:pgSz w:w="11910" w:h="16840" w:code="9"/>
          <w:pgMar w:top="907" w:right="907" w:bottom="1440" w:left="907" w:header="709" w:footer="709" w:gutter="0"/>
          <w:cols w:num="2" w:space="340"/>
        </w:sectPr>
      </w:pPr>
    </w:p>
    <w:p w14:paraId="63F1FF42" w14:textId="628FCA51" w:rsidR="00562CB9" w:rsidRPr="00861301" w:rsidRDefault="00562CB9" w:rsidP="00562CB9">
      <w:pPr>
        <w:rPr>
          <w:sz w:val="6"/>
          <w:szCs w:val="6"/>
        </w:rPr>
      </w:pPr>
    </w:p>
    <w:sectPr w:rsidR="00562CB9" w:rsidRPr="00861301" w:rsidSect="00562CB9">
      <w:type w:val="continuous"/>
      <w:pgSz w:w="11910" w:h="16840" w:code="9"/>
      <w:pgMar w:top="907" w:right="907" w:bottom="1440" w:left="907" w:header="709" w:footer="709" w:gutter="0"/>
      <w:cols w:space="3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4FC7EA" w14:textId="77777777" w:rsidR="008E466C" w:rsidRDefault="008E466C" w:rsidP="00E86FBD">
      <w:r>
        <w:separator/>
      </w:r>
    </w:p>
  </w:endnote>
  <w:endnote w:type="continuationSeparator" w:id="0">
    <w:p w14:paraId="3932C852" w14:textId="77777777" w:rsidR="008E466C" w:rsidRDefault="008E466C" w:rsidP="00E86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Open Sans">
    <w:altName w:val="Tahoma"/>
    <w:charset w:val="00"/>
    <w:family w:val="swiss"/>
    <w:pitch w:val="variable"/>
    <w:sig w:usb0="E00002EF" w:usb1="4000205B" w:usb2="00000028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5993656"/>
      <w:docPartObj>
        <w:docPartGallery w:val="Page Numbers (Bottom of Page)"/>
        <w:docPartUnique/>
      </w:docPartObj>
    </w:sdtPr>
    <w:sdtContent>
      <w:p w14:paraId="50FF476C" w14:textId="4FCE0BEA" w:rsidR="00E86FBD" w:rsidRDefault="00E86FBD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441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3B1113" w14:textId="77777777" w:rsidR="008E466C" w:rsidRDefault="008E466C" w:rsidP="00E86FBD">
      <w:r>
        <w:separator/>
      </w:r>
    </w:p>
  </w:footnote>
  <w:footnote w:type="continuationSeparator" w:id="0">
    <w:p w14:paraId="57D9FAD0" w14:textId="77777777" w:rsidR="008E466C" w:rsidRDefault="008E466C" w:rsidP="00E86F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916FD"/>
    <w:multiLevelType w:val="hybridMultilevel"/>
    <w:tmpl w:val="2C565A52"/>
    <w:lvl w:ilvl="0" w:tplc="0419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">
    <w:nsid w:val="05BD65A4"/>
    <w:multiLevelType w:val="hybridMultilevel"/>
    <w:tmpl w:val="1A48C27C"/>
    <w:lvl w:ilvl="0" w:tplc="0419000F">
      <w:start w:val="1"/>
      <w:numFmt w:val="decimal"/>
      <w:lvlText w:val="%1."/>
      <w:lvlJc w:val="left"/>
      <w:pPr>
        <w:ind w:left="1009" w:hanging="360"/>
      </w:pPr>
      <w:rPr>
        <w:rFonts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">
    <w:nsid w:val="0CA54080"/>
    <w:multiLevelType w:val="hybridMultilevel"/>
    <w:tmpl w:val="AA50361A"/>
    <w:lvl w:ilvl="0" w:tplc="F51AA6A2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56FBC"/>
    <w:multiLevelType w:val="hybridMultilevel"/>
    <w:tmpl w:val="584CC894"/>
    <w:lvl w:ilvl="0" w:tplc="88546652">
      <w:start w:val="1"/>
      <w:numFmt w:val="decimal"/>
      <w:lvlText w:val="%1."/>
      <w:lvlJc w:val="left"/>
      <w:pPr>
        <w:ind w:left="926" w:hanging="708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1" w:tplc="F806AA42">
      <w:numFmt w:val="bullet"/>
      <w:lvlText w:val="•"/>
      <w:lvlJc w:val="left"/>
      <w:pPr>
        <w:ind w:left="1780" w:hanging="708"/>
      </w:pPr>
      <w:rPr>
        <w:rFonts w:hint="default"/>
        <w:lang w:val="ru-RU" w:eastAsia="en-US" w:bidi="ar-SA"/>
      </w:rPr>
    </w:lvl>
    <w:lvl w:ilvl="2" w:tplc="3DEAA282">
      <w:numFmt w:val="bullet"/>
      <w:lvlText w:val="•"/>
      <w:lvlJc w:val="left"/>
      <w:pPr>
        <w:ind w:left="2641" w:hanging="708"/>
      </w:pPr>
      <w:rPr>
        <w:rFonts w:hint="default"/>
        <w:lang w:val="ru-RU" w:eastAsia="en-US" w:bidi="ar-SA"/>
      </w:rPr>
    </w:lvl>
    <w:lvl w:ilvl="3" w:tplc="CBBED8FC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4" w:tplc="C826D342">
      <w:numFmt w:val="bullet"/>
      <w:lvlText w:val="•"/>
      <w:lvlJc w:val="left"/>
      <w:pPr>
        <w:ind w:left="4362" w:hanging="708"/>
      </w:pPr>
      <w:rPr>
        <w:rFonts w:hint="default"/>
        <w:lang w:val="ru-RU" w:eastAsia="en-US" w:bidi="ar-SA"/>
      </w:rPr>
    </w:lvl>
    <w:lvl w:ilvl="5" w:tplc="2AC891B2">
      <w:numFmt w:val="bullet"/>
      <w:lvlText w:val="•"/>
      <w:lvlJc w:val="left"/>
      <w:pPr>
        <w:ind w:left="5223" w:hanging="708"/>
      </w:pPr>
      <w:rPr>
        <w:rFonts w:hint="default"/>
        <w:lang w:val="ru-RU" w:eastAsia="en-US" w:bidi="ar-SA"/>
      </w:rPr>
    </w:lvl>
    <w:lvl w:ilvl="6" w:tplc="CB9E001C">
      <w:numFmt w:val="bullet"/>
      <w:lvlText w:val="•"/>
      <w:lvlJc w:val="left"/>
      <w:pPr>
        <w:ind w:left="6083" w:hanging="708"/>
      </w:pPr>
      <w:rPr>
        <w:rFonts w:hint="default"/>
        <w:lang w:val="ru-RU" w:eastAsia="en-US" w:bidi="ar-SA"/>
      </w:rPr>
    </w:lvl>
    <w:lvl w:ilvl="7" w:tplc="6AB8A59C">
      <w:numFmt w:val="bullet"/>
      <w:lvlText w:val="•"/>
      <w:lvlJc w:val="left"/>
      <w:pPr>
        <w:ind w:left="6944" w:hanging="708"/>
      </w:pPr>
      <w:rPr>
        <w:rFonts w:hint="default"/>
        <w:lang w:val="ru-RU" w:eastAsia="en-US" w:bidi="ar-SA"/>
      </w:rPr>
    </w:lvl>
    <w:lvl w:ilvl="8" w:tplc="F7E812D2">
      <w:numFmt w:val="bullet"/>
      <w:lvlText w:val="•"/>
      <w:lvlJc w:val="left"/>
      <w:pPr>
        <w:ind w:left="7805" w:hanging="708"/>
      </w:pPr>
      <w:rPr>
        <w:rFonts w:hint="default"/>
        <w:lang w:val="ru-RU" w:eastAsia="en-US" w:bidi="ar-SA"/>
      </w:rPr>
    </w:lvl>
  </w:abstractNum>
  <w:abstractNum w:abstractNumId="4">
    <w:nsid w:val="13560D21"/>
    <w:multiLevelType w:val="hybridMultilevel"/>
    <w:tmpl w:val="A118BA46"/>
    <w:lvl w:ilvl="0" w:tplc="0419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5">
    <w:nsid w:val="288A696F"/>
    <w:multiLevelType w:val="multilevel"/>
    <w:tmpl w:val="2A22B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7">
    <w:nsid w:val="329820B0"/>
    <w:multiLevelType w:val="multilevel"/>
    <w:tmpl w:val="5EAE8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D11727"/>
    <w:multiLevelType w:val="hybridMultilevel"/>
    <w:tmpl w:val="B60A42E6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9">
    <w:nsid w:val="35035FC3"/>
    <w:multiLevelType w:val="hybridMultilevel"/>
    <w:tmpl w:val="2A14B72A"/>
    <w:lvl w:ilvl="0" w:tplc="0419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0">
    <w:nsid w:val="352E6806"/>
    <w:multiLevelType w:val="hybridMultilevel"/>
    <w:tmpl w:val="FF56173A"/>
    <w:lvl w:ilvl="0" w:tplc="0419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1">
    <w:nsid w:val="378E0BEC"/>
    <w:multiLevelType w:val="hybridMultilevel"/>
    <w:tmpl w:val="FF889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EB6B63"/>
    <w:multiLevelType w:val="hybridMultilevel"/>
    <w:tmpl w:val="22B0015C"/>
    <w:lvl w:ilvl="0" w:tplc="0419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5B32D9F"/>
    <w:multiLevelType w:val="hybridMultilevel"/>
    <w:tmpl w:val="E822135E"/>
    <w:lvl w:ilvl="0" w:tplc="D7E4F67E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0" w:hanging="360"/>
      </w:pPr>
    </w:lvl>
    <w:lvl w:ilvl="2" w:tplc="0419001B" w:tentative="1">
      <w:start w:val="1"/>
      <w:numFmt w:val="lowerRoman"/>
      <w:lvlText w:val="%3."/>
      <w:lvlJc w:val="right"/>
      <w:pPr>
        <w:ind w:left="2140" w:hanging="180"/>
      </w:pPr>
    </w:lvl>
    <w:lvl w:ilvl="3" w:tplc="0419000F" w:tentative="1">
      <w:start w:val="1"/>
      <w:numFmt w:val="decimal"/>
      <w:lvlText w:val="%4."/>
      <w:lvlJc w:val="left"/>
      <w:pPr>
        <w:ind w:left="2860" w:hanging="360"/>
      </w:pPr>
    </w:lvl>
    <w:lvl w:ilvl="4" w:tplc="04190019" w:tentative="1">
      <w:start w:val="1"/>
      <w:numFmt w:val="lowerLetter"/>
      <w:lvlText w:val="%5."/>
      <w:lvlJc w:val="left"/>
      <w:pPr>
        <w:ind w:left="3580" w:hanging="360"/>
      </w:pPr>
    </w:lvl>
    <w:lvl w:ilvl="5" w:tplc="0419001B" w:tentative="1">
      <w:start w:val="1"/>
      <w:numFmt w:val="lowerRoman"/>
      <w:lvlText w:val="%6."/>
      <w:lvlJc w:val="right"/>
      <w:pPr>
        <w:ind w:left="4300" w:hanging="180"/>
      </w:pPr>
    </w:lvl>
    <w:lvl w:ilvl="6" w:tplc="0419000F" w:tentative="1">
      <w:start w:val="1"/>
      <w:numFmt w:val="decimal"/>
      <w:lvlText w:val="%7."/>
      <w:lvlJc w:val="left"/>
      <w:pPr>
        <w:ind w:left="5020" w:hanging="360"/>
      </w:pPr>
    </w:lvl>
    <w:lvl w:ilvl="7" w:tplc="04190019" w:tentative="1">
      <w:start w:val="1"/>
      <w:numFmt w:val="lowerLetter"/>
      <w:lvlText w:val="%8."/>
      <w:lvlJc w:val="left"/>
      <w:pPr>
        <w:ind w:left="5740" w:hanging="360"/>
      </w:pPr>
    </w:lvl>
    <w:lvl w:ilvl="8" w:tplc="041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035C9A"/>
    <w:multiLevelType w:val="multilevel"/>
    <w:tmpl w:val="81121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ACF4310"/>
    <w:multiLevelType w:val="multilevel"/>
    <w:tmpl w:val="00342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914F0F"/>
    <w:multiLevelType w:val="hybridMultilevel"/>
    <w:tmpl w:val="6C6834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14618C"/>
    <w:multiLevelType w:val="multilevel"/>
    <w:tmpl w:val="19343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9"/>
  </w:num>
  <w:num w:numId="3">
    <w:abstractNumId w:val="13"/>
  </w:num>
  <w:num w:numId="4">
    <w:abstractNumId w:val="4"/>
  </w:num>
  <w:num w:numId="5">
    <w:abstractNumId w:val="0"/>
  </w:num>
  <w:num w:numId="6">
    <w:abstractNumId w:val="10"/>
  </w:num>
  <w:num w:numId="7">
    <w:abstractNumId w:val="2"/>
  </w:num>
  <w:num w:numId="8">
    <w:abstractNumId w:val="18"/>
  </w:num>
  <w:num w:numId="9">
    <w:abstractNumId w:val="11"/>
  </w:num>
  <w:num w:numId="10">
    <w:abstractNumId w:val="7"/>
  </w:num>
  <w:num w:numId="11">
    <w:abstractNumId w:val="20"/>
  </w:num>
  <w:num w:numId="12">
    <w:abstractNumId w:val="17"/>
  </w:num>
  <w:num w:numId="13">
    <w:abstractNumId w:val="15"/>
  </w:num>
  <w:num w:numId="14">
    <w:abstractNumId w:val="21"/>
  </w:num>
  <w:num w:numId="15">
    <w:abstractNumId w:val="5"/>
  </w:num>
  <w:num w:numId="16">
    <w:abstractNumId w:val="8"/>
  </w:num>
  <w:num w:numId="17">
    <w:abstractNumId w:val="14"/>
  </w:num>
  <w:num w:numId="18">
    <w:abstractNumId w:val="14"/>
  </w:num>
  <w:num w:numId="19">
    <w:abstractNumId w:val="14"/>
  </w:num>
  <w:num w:numId="20">
    <w:abstractNumId w:val="14"/>
  </w:num>
  <w:num w:numId="21">
    <w:abstractNumId w:val="12"/>
  </w:num>
  <w:num w:numId="22">
    <w:abstractNumId w:val="16"/>
  </w:num>
  <w:num w:numId="23">
    <w:abstractNumId w:val="6"/>
  </w:num>
  <w:num w:numId="24">
    <w:abstractNumId w:val="19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48F"/>
    <w:rsid w:val="0001137B"/>
    <w:rsid w:val="00011EE6"/>
    <w:rsid w:val="00031EDE"/>
    <w:rsid w:val="000358CA"/>
    <w:rsid w:val="0004483F"/>
    <w:rsid w:val="000D3551"/>
    <w:rsid w:val="000E616A"/>
    <w:rsid w:val="000F3EF4"/>
    <w:rsid w:val="00104388"/>
    <w:rsid w:val="001046CA"/>
    <w:rsid w:val="00163454"/>
    <w:rsid w:val="00191430"/>
    <w:rsid w:val="00206ED6"/>
    <w:rsid w:val="002479F0"/>
    <w:rsid w:val="00281DCB"/>
    <w:rsid w:val="002D04B3"/>
    <w:rsid w:val="002E6A44"/>
    <w:rsid w:val="002F4962"/>
    <w:rsid w:val="00305591"/>
    <w:rsid w:val="0031048A"/>
    <w:rsid w:val="00326EAA"/>
    <w:rsid w:val="003B4801"/>
    <w:rsid w:val="003E559B"/>
    <w:rsid w:val="003F7179"/>
    <w:rsid w:val="00400FC4"/>
    <w:rsid w:val="00406D2D"/>
    <w:rsid w:val="00446883"/>
    <w:rsid w:val="004B3F39"/>
    <w:rsid w:val="004E29D6"/>
    <w:rsid w:val="00524AC4"/>
    <w:rsid w:val="005445A7"/>
    <w:rsid w:val="00556F3C"/>
    <w:rsid w:val="00562CB9"/>
    <w:rsid w:val="00570922"/>
    <w:rsid w:val="00586E5F"/>
    <w:rsid w:val="005A3659"/>
    <w:rsid w:val="005D79D7"/>
    <w:rsid w:val="00625113"/>
    <w:rsid w:val="00644DD5"/>
    <w:rsid w:val="00645317"/>
    <w:rsid w:val="006524CE"/>
    <w:rsid w:val="00672879"/>
    <w:rsid w:val="0069764F"/>
    <w:rsid w:val="006B2F29"/>
    <w:rsid w:val="006C4B24"/>
    <w:rsid w:val="006E3C47"/>
    <w:rsid w:val="006E5CAB"/>
    <w:rsid w:val="006F56E4"/>
    <w:rsid w:val="0070314C"/>
    <w:rsid w:val="00707175"/>
    <w:rsid w:val="007258C7"/>
    <w:rsid w:val="00757DDB"/>
    <w:rsid w:val="0077360D"/>
    <w:rsid w:val="00775E3F"/>
    <w:rsid w:val="00776DF1"/>
    <w:rsid w:val="007E0CDC"/>
    <w:rsid w:val="00807262"/>
    <w:rsid w:val="0080748F"/>
    <w:rsid w:val="00827F85"/>
    <w:rsid w:val="00860625"/>
    <w:rsid w:val="00861301"/>
    <w:rsid w:val="008709DB"/>
    <w:rsid w:val="00881739"/>
    <w:rsid w:val="0089519A"/>
    <w:rsid w:val="008A0CC0"/>
    <w:rsid w:val="008A523B"/>
    <w:rsid w:val="008B5AF0"/>
    <w:rsid w:val="008B61DE"/>
    <w:rsid w:val="008E466C"/>
    <w:rsid w:val="00954832"/>
    <w:rsid w:val="0097100F"/>
    <w:rsid w:val="00986A55"/>
    <w:rsid w:val="0098752D"/>
    <w:rsid w:val="00A07812"/>
    <w:rsid w:val="00A34E76"/>
    <w:rsid w:val="00A436A2"/>
    <w:rsid w:val="00A540FE"/>
    <w:rsid w:val="00A66149"/>
    <w:rsid w:val="00A7645E"/>
    <w:rsid w:val="00AA0771"/>
    <w:rsid w:val="00AD664C"/>
    <w:rsid w:val="00B44A5A"/>
    <w:rsid w:val="00B74C61"/>
    <w:rsid w:val="00B91E3E"/>
    <w:rsid w:val="00BA3409"/>
    <w:rsid w:val="00BE693C"/>
    <w:rsid w:val="00BE7D9A"/>
    <w:rsid w:val="00C126B2"/>
    <w:rsid w:val="00C41D67"/>
    <w:rsid w:val="00C559F6"/>
    <w:rsid w:val="00C61A5A"/>
    <w:rsid w:val="00C72945"/>
    <w:rsid w:val="00CA6499"/>
    <w:rsid w:val="00CC03A2"/>
    <w:rsid w:val="00CC7A87"/>
    <w:rsid w:val="00CD1AE9"/>
    <w:rsid w:val="00CE44D1"/>
    <w:rsid w:val="00CF1C4B"/>
    <w:rsid w:val="00D72B0E"/>
    <w:rsid w:val="00D9055F"/>
    <w:rsid w:val="00DC3AA4"/>
    <w:rsid w:val="00DC64CA"/>
    <w:rsid w:val="00DD3802"/>
    <w:rsid w:val="00DE156F"/>
    <w:rsid w:val="00DF763C"/>
    <w:rsid w:val="00E00536"/>
    <w:rsid w:val="00E3648F"/>
    <w:rsid w:val="00E47ABB"/>
    <w:rsid w:val="00E73548"/>
    <w:rsid w:val="00E86FBD"/>
    <w:rsid w:val="00F27525"/>
    <w:rsid w:val="00F8500D"/>
    <w:rsid w:val="00FE3A4D"/>
    <w:rsid w:val="00FF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EE7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BA3409"/>
    <w:pPr>
      <w:widowControl/>
      <w:suppressAutoHyphens/>
      <w:autoSpaceDE/>
      <w:autoSpaceDN/>
    </w:pPr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1">
    <w:name w:val="heading 1"/>
    <w:basedOn w:val="a2"/>
    <w:next w:val="a3"/>
    <w:link w:val="10"/>
    <w:qFormat/>
    <w:rsid w:val="00BA3409"/>
    <w:pPr>
      <w:keepNext/>
      <w:keepLines/>
      <w:numPr>
        <w:numId w:val="2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A3409"/>
    <w:pPr>
      <w:keepNext/>
      <w:keepLines/>
      <w:numPr>
        <w:ilvl w:val="1"/>
        <w:numId w:val="2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BA3409"/>
    <w:pPr>
      <w:numPr>
        <w:ilvl w:val="2"/>
        <w:numId w:val="2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BA3409"/>
    <w:pPr>
      <w:numPr>
        <w:ilvl w:val="3"/>
        <w:numId w:val="2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BA3409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BA3409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2"/>
    <w:link w:val="a7"/>
    <w:rsid w:val="00BA3409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styleId="a8">
    <w:name w:val="List Paragraph"/>
    <w:basedOn w:val="a2"/>
    <w:uiPriority w:val="1"/>
    <w:qFormat/>
    <w:pPr>
      <w:ind w:left="492" w:hanging="282"/>
    </w:pPr>
  </w:style>
  <w:style w:type="paragraph" w:customStyle="1" w:styleId="TableParagraph">
    <w:name w:val="Table Paragraph"/>
    <w:basedOn w:val="a2"/>
    <w:uiPriority w:val="1"/>
    <w:qFormat/>
    <w:pPr>
      <w:ind w:left="352" w:right="254"/>
      <w:jc w:val="center"/>
    </w:pPr>
  </w:style>
  <w:style w:type="paragraph" w:customStyle="1" w:styleId="a9">
    <w:name w:val="литература"/>
    <w:basedOn w:val="a2"/>
    <w:qFormat/>
    <w:rsid w:val="00C61A5A"/>
    <w:pPr>
      <w:spacing w:before="240" w:after="160" w:line="247" w:lineRule="auto"/>
      <w:ind w:firstLine="340"/>
      <w:jc w:val="center"/>
    </w:pPr>
    <w:rPr>
      <w:rFonts w:ascii="Open Sans" w:eastAsia="Calibri" w:hAnsi="Open Sans" w:cs="Open Sans"/>
      <w:caps/>
      <w:kern w:val="20"/>
    </w:rPr>
  </w:style>
  <w:style w:type="paragraph" w:styleId="aa">
    <w:name w:val="Normal (Web)"/>
    <w:basedOn w:val="a2"/>
    <w:uiPriority w:val="99"/>
    <w:unhideWhenUsed/>
    <w:rsid w:val="004B3F39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Hyperlink"/>
    <w:basedOn w:val="a4"/>
    <w:uiPriority w:val="99"/>
    <w:unhideWhenUsed/>
    <w:rsid w:val="00776DF1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776DF1"/>
    <w:rPr>
      <w:color w:val="605E5C"/>
      <w:shd w:val="clear" w:color="auto" w:fill="E1DFDD"/>
    </w:rPr>
  </w:style>
  <w:style w:type="character" w:customStyle="1" w:styleId="21">
    <w:name w:val="Неразрешенное упоминание2"/>
    <w:basedOn w:val="a4"/>
    <w:uiPriority w:val="99"/>
    <w:semiHidden/>
    <w:unhideWhenUsed/>
    <w:rsid w:val="0004483F"/>
    <w:rPr>
      <w:color w:val="605E5C"/>
      <w:shd w:val="clear" w:color="auto" w:fill="E1DFDD"/>
    </w:rPr>
  </w:style>
  <w:style w:type="character" w:styleId="ac">
    <w:name w:val="Strong"/>
    <w:basedOn w:val="a4"/>
    <w:uiPriority w:val="22"/>
    <w:qFormat/>
    <w:rsid w:val="0069764F"/>
    <w:rPr>
      <w:b/>
      <w:bCs/>
    </w:rPr>
  </w:style>
  <w:style w:type="character" w:styleId="ad">
    <w:name w:val="Emphasis"/>
    <w:basedOn w:val="a4"/>
    <w:uiPriority w:val="20"/>
    <w:qFormat/>
    <w:rsid w:val="0069764F"/>
    <w:rPr>
      <w:i/>
      <w:iCs/>
    </w:rPr>
  </w:style>
  <w:style w:type="character" w:customStyle="1" w:styleId="vlist-s">
    <w:name w:val="vlist-s"/>
    <w:basedOn w:val="a4"/>
    <w:rsid w:val="008A0CC0"/>
  </w:style>
  <w:style w:type="character" w:customStyle="1" w:styleId="katex-mathml">
    <w:name w:val="katex-mathml"/>
    <w:basedOn w:val="a4"/>
    <w:rsid w:val="008A0CC0"/>
  </w:style>
  <w:style w:type="character" w:customStyle="1" w:styleId="mclose">
    <w:name w:val="mclose"/>
    <w:basedOn w:val="a4"/>
    <w:rsid w:val="008A0CC0"/>
  </w:style>
  <w:style w:type="paragraph" w:styleId="HTML">
    <w:name w:val="HTML Preformatted"/>
    <w:basedOn w:val="a2"/>
    <w:link w:val="HTML0"/>
    <w:uiPriority w:val="99"/>
    <w:semiHidden/>
    <w:unhideWhenUsed/>
    <w:rsid w:val="00FE3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eastAsia="ru-RU"/>
    </w:rPr>
  </w:style>
  <w:style w:type="character" w:customStyle="1" w:styleId="HTML0">
    <w:name w:val="Стандартный HTML Знак"/>
    <w:basedOn w:val="a4"/>
    <w:link w:val="HTML"/>
    <w:uiPriority w:val="99"/>
    <w:semiHidden/>
    <w:rsid w:val="00FE3A4D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y2iqfc">
    <w:name w:val="y2iqfc"/>
    <w:basedOn w:val="a4"/>
    <w:rsid w:val="00FE3A4D"/>
  </w:style>
  <w:style w:type="paragraph" w:styleId="ae">
    <w:name w:val="caption"/>
    <w:basedOn w:val="a2"/>
    <w:next w:val="a2"/>
    <w:uiPriority w:val="35"/>
    <w:unhideWhenUsed/>
    <w:qFormat/>
    <w:rsid w:val="000F3EF4"/>
    <w:pPr>
      <w:spacing w:after="200"/>
    </w:pPr>
    <w:rPr>
      <w:i/>
      <w:iCs/>
      <w:color w:val="1F497D" w:themeColor="text2"/>
      <w:sz w:val="18"/>
      <w:szCs w:val="18"/>
    </w:rPr>
  </w:style>
  <w:style w:type="character" w:customStyle="1" w:styleId="mord">
    <w:name w:val="mord"/>
    <w:basedOn w:val="a4"/>
    <w:rsid w:val="007E0CDC"/>
  </w:style>
  <w:style w:type="character" w:styleId="af">
    <w:name w:val="Placeholder Text"/>
    <w:basedOn w:val="a4"/>
    <w:uiPriority w:val="99"/>
    <w:semiHidden/>
    <w:rsid w:val="007E0CDC"/>
    <w:rPr>
      <w:color w:val="808080"/>
    </w:rPr>
  </w:style>
  <w:style w:type="character" w:customStyle="1" w:styleId="mrel">
    <w:name w:val="mrel"/>
    <w:basedOn w:val="a4"/>
    <w:rsid w:val="00E3648F"/>
  </w:style>
  <w:style w:type="table" w:styleId="af0">
    <w:name w:val="Table Grid"/>
    <w:basedOn w:val="a5"/>
    <w:uiPriority w:val="59"/>
    <w:rsid w:val="00BA3409"/>
    <w:pPr>
      <w:widowControl/>
      <w:autoSpaceDE/>
      <w:autoSpaceDN/>
    </w:pPr>
    <w:rPr>
      <w:rFonts w:eastAsia="Times New Roman"/>
      <w:lang w:val="ru-RU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bin">
    <w:name w:val="mbin"/>
    <w:basedOn w:val="a4"/>
    <w:rsid w:val="00400FC4"/>
  </w:style>
  <w:style w:type="character" w:customStyle="1" w:styleId="whitespace-normal">
    <w:name w:val="whitespace-normal"/>
    <w:basedOn w:val="a4"/>
    <w:rsid w:val="00CD1AE9"/>
  </w:style>
  <w:style w:type="character" w:customStyle="1" w:styleId="30">
    <w:name w:val="Заголовок 3 Знак"/>
    <w:basedOn w:val="a4"/>
    <w:link w:val="3"/>
    <w:uiPriority w:val="1"/>
    <w:rsid w:val="00BA3409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mopen">
    <w:name w:val="mopen"/>
    <w:basedOn w:val="a4"/>
    <w:rsid w:val="00E47ABB"/>
  </w:style>
  <w:style w:type="paragraph" w:customStyle="1" w:styleId="af1">
    <w:name w:val="Авторы"/>
    <w:basedOn w:val="a2"/>
    <w:next w:val="a2"/>
    <w:qFormat/>
    <w:rsid w:val="00BA3409"/>
    <w:pPr>
      <w:spacing w:before="240" w:after="80"/>
      <w:jc w:val="center"/>
    </w:pPr>
    <w:rPr>
      <w:sz w:val="24"/>
    </w:rPr>
  </w:style>
  <w:style w:type="paragraph" w:customStyle="1" w:styleId="af2">
    <w:name w:val="Организация"/>
    <w:basedOn w:val="a2"/>
    <w:qFormat/>
    <w:rsid w:val="00BA3409"/>
    <w:pPr>
      <w:spacing w:after="80"/>
      <w:jc w:val="center"/>
    </w:pPr>
    <w:rPr>
      <w:i/>
      <w:sz w:val="22"/>
    </w:rPr>
  </w:style>
  <w:style w:type="paragraph" w:customStyle="1" w:styleId="af3">
    <w:name w:val="Аннотация"/>
    <w:basedOn w:val="af2"/>
    <w:qFormat/>
    <w:rsid w:val="00BA3409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BA3409"/>
    <w:rPr>
      <w:rFonts w:ascii="Times New Roman" w:eastAsia="SimSun" w:hAnsi="Times New Roman" w:cs="Times New Roman"/>
      <w:smallCaps/>
      <w:noProof/>
      <w:sz w:val="20"/>
      <w:szCs w:val="20"/>
      <w:lang w:val="ru-RU"/>
    </w:rPr>
  </w:style>
  <w:style w:type="character" w:customStyle="1" w:styleId="20">
    <w:name w:val="Заголовок 2 Знак"/>
    <w:basedOn w:val="a4"/>
    <w:link w:val="2"/>
    <w:rsid w:val="00BA3409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40">
    <w:name w:val="Заголовок 4 Знак"/>
    <w:basedOn w:val="a4"/>
    <w:link w:val="4"/>
    <w:uiPriority w:val="1"/>
    <w:semiHidden/>
    <w:rsid w:val="00BA3409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50">
    <w:name w:val="Заголовок 5 Знак"/>
    <w:basedOn w:val="a4"/>
    <w:link w:val="5"/>
    <w:rsid w:val="00BA3409"/>
    <w:rPr>
      <w:rFonts w:ascii="Times New Roman" w:eastAsia="SimSun" w:hAnsi="Times New Roman" w:cs="Times New Roman"/>
      <w:smallCaps/>
      <w:noProof/>
      <w:sz w:val="20"/>
      <w:szCs w:val="20"/>
      <w:lang w:val="ru-RU"/>
    </w:rPr>
  </w:style>
  <w:style w:type="character" w:customStyle="1" w:styleId="60">
    <w:name w:val="Заголовок 6 Знак"/>
    <w:basedOn w:val="a4"/>
    <w:link w:val="6"/>
    <w:uiPriority w:val="9"/>
    <w:semiHidden/>
    <w:rsid w:val="00BA3409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val="ru-RU"/>
    </w:rPr>
  </w:style>
  <w:style w:type="paragraph" w:customStyle="1" w:styleId="af4">
    <w:name w:val="Ключевые слова"/>
    <w:basedOn w:val="a2"/>
    <w:next w:val="1"/>
    <w:qFormat/>
    <w:rsid w:val="00BA3409"/>
    <w:pPr>
      <w:spacing w:after="200"/>
      <w:ind w:firstLine="289"/>
      <w:jc w:val="both"/>
    </w:pPr>
    <w:rPr>
      <w:b/>
      <w:i/>
      <w:sz w:val="18"/>
    </w:rPr>
  </w:style>
  <w:style w:type="paragraph" w:customStyle="1" w:styleId="af5">
    <w:name w:val="Мэйл"/>
    <w:basedOn w:val="a2"/>
    <w:qFormat/>
    <w:rsid w:val="00BA3409"/>
    <w:pPr>
      <w:spacing w:after="120"/>
      <w:jc w:val="center"/>
    </w:pPr>
    <w:rPr>
      <w:sz w:val="22"/>
      <w:lang w:val="en-US"/>
    </w:rPr>
  </w:style>
  <w:style w:type="paragraph" w:styleId="af6">
    <w:name w:val="Title"/>
    <w:basedOn w:val="a2"/>
    <w:next w:val="a2"/>
    <w:link w:val="af7"/>
    <w:qFormat/>
    <w:rsid w:val="00BA3409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7">
    <w:name w:val="Название Знак"/>
    <w:basedOn w:val="a4"/>
    <w:link w:val="af6"/>
    <w:rsid w:val="00BA3409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val="ru-RU"/>
    </w:rPr>
  </w:style>
  <w:style w:type="paragraph" w:customStyle="1" w:styleId="a">
    <w:name w:val="Название рисунка"/>
    <w:basedOn w:val="a2"/>
    <w:qFormat/>
    <w:rsid w:val="00BA3409"/>
    <w:pPr>
      <w:numPr>
        <w:numId w:val="21"/>
      </w:numPr>
      <w:tabs>
        <w:tab w:val="left" w:pos="289"/>
      </w:tabs>
      <w:spacing w:before="120" w:after="200"/>
    </w:pPr>
    <w:rPr>
      <w:sz w:val="16"/>
    </w:rPr>
  </w:style>
  <w:style w:type="character" w:customStyle="1" w:styleId="a7">
    <w:name w:val="Основной текст Знак"/>
    <w:link w:val="a3"/>
    <w:rsid w:val="00BA3409"/>
    <w:rPr>
      <w:rFonts w:ascii="Times New Roman" w:eastAsia="MS Mincho" w:hAnsi="Times New Roman" w:cs="Times New Roman"/>
      <w:spacing w:val="-1"/>
      <w:sz w:val="20"/>
      <w:szCs w:val="20"/>
      <w:lang w:val="ru-RU"/>
    </w:rPr>
  </w:style>
  <w:style w:type="paragraph" w:styleId="a0">
    <w:name w:val="Bibliography"/>
    <w:basedOn w:val="a3"/>
    <w:next w:val="a2"/>
    <w:qFormat/>
    <w:rsid w:val="00562CB9"/>
    <w:pPr>
      <w:numPr>
        <w:numId w:val="22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562CB9"/>
    <w:pPr>
      <w:numPr>
        <w:numId w:val="23"/>
      </w:numPr>
      <w:spacing w:after="60"/>
      <w:ind w:left="714" w:hanging="357"/>
    </w:pPr>
  </w:style>
  <w:style w:type="paragraph" w:customStyle="1" w:styleId="af8">
    <w:name w:val="Строка таблицы"/>
    <w:basedOn w:val="a2"/>
    <w:qFormat/>
    <w:rsid w:val="00BA3409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BA3409"/>
    <w:pPr>
      <w:numPr>
        <w:numId w:val="24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9">
    <w:name w:val="Финансирование"/>
    <w:basedOn w:val="a2"/>
    <w:qFormat/>
    <w:rsid w:val="00BA3409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a">
    <w:name w:val="header"/>
    <w:basedOn w:val="a2"/>
    <w:link w:val="afb"/>
    <w:uiPriority w:val="99"/>
    <w:unhideWhenUsed/>
    <w:rsid w:val="00E86FBD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4"/>
    <w:link w:val="afa"/>
    <w:uiPriority w:val="99"/>
    <w:rsid w:val="00E86FBD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c">
    <w:name w:val="footer"/>
    <w:basedOn w:val="a2"/>
    <w:link w:val="afd"/>
    <w:uiPriority w:val="99"/>
    <w:unhideWhenUsed/>
    <w:rsid w:val="00E86FBD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a4"/>
    <w:link w:val="afc"/>
    <w:uiPriority w:val="99"/>
    <w:rsid w:val="00E86FBD"/>
    <w:rPr>
      <w:rFonts w:ascii="Times New Roman" w:eastAsia="Times New Roman" w:hAnsi="Times New Roman" w:cs="Times New Roman"/>
      <w:sz w:val="20"/>
      <w:szCs w:val="20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BA3409"/>
    <w:pPr>
      <w:widowControl/>
      <w:suppressAutoHyphens/>
      <w:autoSpaceDE/>
      <w:autoSpaceDN/>
    </w:pPr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1">
    <w:name w:val="heading 1"/>
    <w:basedOn w:val="a2"/>
    <w:next w:val="a3"/>
    <w:link w:val="10"/>
    <w:qFormat/>
    <w:rsid w:val="00BA3409"/>
    <w:pPr>
      <w:keepNext/>
      <w:keepLines/>
      <w:numPr>
        <w:numId w:val="2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A3409"/>
    <w:pPr>
      <w:keepNext/>
      <w:keepLines/>
      <w:numPr>
        <w:ilvl w:val="1"/>
        <w:numId w:val="2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BA3409"/>
    <w:pPr>
      <w:numPr>
        <w:ilvl w:val="2"/>
        <w:numId w:val="2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BA3409"/>
    <w:pPr>
      <w:numPr>
        <w:ilvl w:val="3"/>
        <w:numId w:val="2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BA3409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BA3409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2"/>
    <w:link w:val="a7"/>
    <w:rsid w:val="00BA3409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styleId="a8">
    <w:name w:val="List Paragraph"/>
    <w:basedOn w:val="a2"/>
    <w:uiPriority w:val="1"/>
    <w:qFormat/>
    <w:pPr>
      <w:ind w:left="492" w:hanging="282"/>
    </w:pPr>
  </w:style>
  <w:style w:type="paragraph" w:customStyle="1" w:styleId="TableParagraph">
    <w:name w:val="Table Paragraph"/>
    <w:basedOn w:val="a2"/>
    <w:uiPriority w:val="1"/>
    <w:qFormat/>
    <w:pPr>
      <w:ind w:left="352" w:right="254"/>
      <w:jc w:val="center"/>
    </w:pPr>
  </w:style>
  <w:style w:type="paragraph" w:customStyle="1" w:styleId="a9">
    <w:name w:val="литература"/>
    <w:basedOn w:val="a2"/>
    <w:qFormat/>
    <w:rsid w:val="00C61A5A"/>
    <w:pPr>
      <w:spacing w:before="240" w:after="160" w:line="247" w:lineRule="auto"/>
      <w:ind w:firstLine="340"/>
      <w:jc w:val="center"/>
    </w:pPr>
    <w:rPr>
      <w:rFonts w:ascii="Open Sans" w:eastAsia="Calibri" w:hAnsi="Open Sans" w:cs="Open Sans"/>
      <w:caps/>
      <w:kern w:val="20"/>
    </w:rPr>
  </w:style>
  <w:style w:type="paragraph" w:styleId="aa">
    <w:name w:val="Normal (Web)"/>
    <w:basedOn w:val="a2"/>
    <w:uiPriority w:val="99"/>
    <w:unhideWhenUsed/>
    <w:rsid w:val="004B3F39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Hyperlink"/>
    <w:basedOn w:val="a4"/>
    <w:uiPriority w:val="99"/>
    <w:unhideWhenUsed/>
    <w:rsid w:val="00776DF1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776DF1"/>
    <w:rPr>
      <w:color w:val="605E5C"/>
      <w:shd w:val="clear" w:color="auto" w:fill="E1DFDD"/>
    </w:rPr>
  </w:style>
  <w:style w:type="character" w:customStyle="1" w:styleId="21">
    <w:name w:val="Неразрешенное упоминание2"/>
    <w:basedOn w:val="a4"/>
    <w:uiPriority w:val="99"/>
    <w:semiHidden/>
    <w:unhideWhenUsed/>
    <w:rsid w:val="0004483F"/>
    <w:rPr>
      <w:color w:val="605E5C"/>
      <w:shd w:val="clear" w:color="auto" w:fill="E1DFDD"/>
    </w:rPr>
  </w:style>
  <w:style w:type="character" w:styleId="ac">
    <w:name w:val="Strong"/>
    <w:basedOn w:val="a4"/>
    <w:uiPriority w:val="22"/>
    <w:qFormat/>
    <w:rsid w:val="0069764F"/>
    <w:rPr>
      <w:b/>
      <w:bCs/>
    </w:rPr>
  </w:style>
  <w:style w:type="character" w:styleId="ad">
    <w:name w:val="Emphasis"/>
    <w:basedOn w:val="a4"/>
    <w:uiPriority w:val="20"/>
    <w:qFormat/>
    <w:rsid w:val="0069764F"/>
    <w:rPr>
      <w:i/>
      <w:iCs/>
    </w:rPr>
  </w:style>
  <w:style w:type="character" w:customStyle="1" w:styleId="vlist-s">
    <w:name w:val="vlist-s"/>
    <w:basedOn w:val="a4"/>
    <w:rsid w:val="008A0CC0"/>
  </w:style>
  <w:style w:type="character" w:customStyle="1" w:styleId="katex-mathml">
    <w:name w:val="katex-mathml"/>
    <w:basedOn w:val="a4"/>
    <w:rsid w:val="008A0CC0"/>
  </w:style>
  <w:style w:type="character" w:customStyle="1" w:styleId="mclose">
    <w:name w:val="mclose"/>
    <w:basedOn w:val="a4"/>
    <w:rsid w:val="008A0CC0"/>
  </w:style>
  <w:style w:type="paragraph" w:styleId="HTML">
    <w:name w:val="HTML Preformatted"/>
    <w:basedOn w:val="a2"/>
    <w:link w:val="HTML0"/>
    <w:uiPriority w:val="99"/>
    <w:semiHidden/>
    <w:unhideWhenUsed/>
    <w:rsid w:val="00FE3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eastAsia="ru-RU"/>
    </w:rPr>
  </w:style>
  <w:style w:type="character" w:customStyle="1" w:styleId="HTML0">
    <w:name w:val="Стандартный HTML Знак"/>
    <w:basedOn w:val="a4"/>
    <w:link w:val="HTML"/>
    <w:uiPriority w:val="99"/>
    <w:semiHidden/>
    <w:rsid w:val="00FE3A4D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y2iqfc">
    <w:name w:val="y2iqfc"/>
    <w:basedOn w:val="a4"/>
    <w:rsid w:val="00FE3A4D"/>
  </w:style>
  <w:style w:type="paragraph" w:styleId="ae">
    <w:name w:val="caption"/>
    <w:basedOn w:val="a2"/>
    <w:next w:val="a2"/>
    <w:uiPriority w:val="35"/>
    <w:unhideWhenUsed/>
    <w:qFormat/>
    <w:rsid w:val="000F3EF4"/>
    <w:pPr>
      <w:spacing w:after="200"/>
    </w:pPr>
    <w:rPr>
      <w:i/>
      <w:iCs/>
      <w:color w:val="1F497D" w:themeColor="text2"/>
      <w:sz w:val="18"/>
      <w:szCs w:val="18"/>
    </w:rPr>
  </w:style>
  <w:style w:type="character" w:customStyle="1" w:styleId="mord">
    <w:name w:val="mord"/>
    <w:basedOn w:val="a4"/>
    <w:rsid w:val="007E0CDC"/>
  </w:style>
  <w:style w:type="character" w:styleId="af">
    <w:name w:val="Placeholder Text"/>
    <w:basedOn w:val="a4"/>
    <w:uiPriority w:val="99"/>
    <w:semiHidden/>
    <w:rsid w:val="007E0CDC"/>
    <w:rPr>
      <w:color w:val="808080"/>
    </w:rPr>
  </w:style>
  <w:style w:type="character" w:customStyle="1" w:styleId="mrel">
    <w:name w:val="mrel"/>
    <w:basedOn w:val="a4"/>
    <w:rsid w:val="00E3648F"/>
  </w:style>
  <w:style w:type="table" w:styleId="af0">
    <w:name w:val="Table Grid"/>
    <w:basedOn w:val="a5"/>
    <w:uiPriority w:val="59"/>
    <w:rsid w:val="00BA3409"/>
    <w:pPr>
      <w:widowControl/>
      <w:autoSpaceDE/>
      <w:autoSpaceDN/>
    </w:pPr>
    <w:rPr>
      <w:rFonts w:eastAsia="Times New Roman"/>
      <w:lang w:val="ru-RU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bin">
    <w:name w:val="mbin"/>
    <w:basedOn w:val="a4"/>
    <w:rsid w:val="00400FC4"/>
  </w:style>
  <w:style w:type="character" w:customStyle="1" w:styleId="whitespace-normal">
    <w:name w:val="whitespace-normal"/>
    <w:basedOn w:val="a4"/>
    <w:rsid w:val="00CD1AE9"/>
  </w:style>
  <w:style w:type="character" w:customStyle="1" w:styleId="30">
    <w:name w:val="Заголовок 3 Знак"/>
    <w:basedOn w:val="a4"/>
    <w:link w:val="3"/>
    <w:uiPriority w:val="1"/>
    <w:rsid w:val="00BA3409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mopen">
    <w:name w:val="mopen"/>
    <w:basedOn w:val="a4"/>
    <w:rsid w:val="00E47ABB"/>
  </w:style>
  <w:style w:type="paragraph" w:customStyle="1" w:styleId="af1">
    <w:name w:val="Авторы"/>
    <w:basedOn w:val="a2"/>
    <w:next w:val="a2"/>
    <w:qFormat/>
    <w:rsid w:val="00BA3409"/>
    <w:pPr>
      <w:spacing w:before="240" w:after="80"/>
      <w:jc w:val="center"/>
    </w:pPr>
    <w:rPr>
      <w:sz w:val="24"/>
    </w:rPr>
  </w:style>
  <w:style w:type="paragraph" w:customStyle="1" w:styleId="af2">
    <w:name w:val="Организация"/>
    <w:basedOn w:val="a2"/>
    <w:qFormat/>
    <w:rsid w:val="00BA3409"/>
    <w:pPr>
      <w:spacing w:after="80"/>
      <w:jc w:val="center"/>
    </w:pPr>
    <w:rPr>
      <w:i/>
      <w:sz w:val="22"/>
    </w:rPr>
  </w:style>
  <w:style w:type="paragraph" w:customStyle="1" w:styleId="af3">
    <w:name w:val="Аннотация"/>
    <w:basedOn w:val="af2"/>
    <w:qFormat/>
    <w:rsid w:val="00BA3409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BA3409"/>
    <w:rPr>
      <w:rFonts w:ascii="Times New Roman" w:eastAsia="SimSun" w:hAnsi="Times New Roman" w:cs="Times New Roman"/>
      <w:smallCaps/>
      <w:noProof/>
      <w:sz w:val="20"/>
      <w:szCs w:val="20"/>
      <w:lang w:val="ru-RU"/>
    </w:rPr>
  </w:style>
  <w:style w:type="character" w:customStyle="1" w:styleId="20">
    <w:name w:val="Заголовок 2 Знак"/>
    <w:basedOn w:val="a4"/>
    <w:link w:val="2"/>
    <w:rsid w:val="00BA3409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40">
    <w:name w:val="Заголовок 4 Знак"/>
    <w:basedOn w:val="a4"/>
    <w:link w:val="4"/>
    <w:uiPriority w:val="1"/>
    <w:semiHidden/>
    <w:rsid w:val="00BA3409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50">
    <w:name w:val="Заголовок 5 Знак"/>
    <w:basedOn w:val="a4"/>
    <w:link w:val="5"/>
    <w:rsid w:val="00BA3409"/>
    <w:rPr>
      <w:rFonts w:ascii="Times New Roman" w:eastAsia="SimSun" w:hAnsi="Times New Roman" w:cs="Times New Roman"/>
      <w:smallCaps/>
      <w:noProof/>
      <w:sz w:val="20"/>
      <w:szCs w:val="20"/>
      <w:lang w:val="ru-RU"/>
    </w:rPr>
  </w:style>
  <w:style w:type="character" w:customStyle="1" w:styleId="60">
    <w:name w:val="Заголовок 6 Знак"/>
    <w:basedOn w:val="a4"/>
    <w:link w:val="6"/>
    <w:uiPriority w:val="9"/>
    <w:semiHidden/>
    <w:rsid w:val="00BA3409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val="ru-RU"/>
    </w:rPr>
  </w:style>
  <w:style w:type="paragraph" w:customStyle="1" w:styleId="af4">
    <w:name w:val="Ключевые слова"/>
    <w:basedOn w:val="a2"/>
    <w:next w:val="1"/>
    <w:qFormat/>
    <w:rsid w:val="00BA3409"/>
    <w:pPr>
      <w:spacing w:after="200"/>
      <w:ind w:firstLine="289"/>
      <w:jc w:val="both"/>
    </w:pPr>
    <w:rPr>
      <w:b/>
      <w:i/>
      <w:sz w:val="18"/>
    </w:rPr>
  </w:style>
  <w:style w:type="paragraph" w:customStyle="1" w:styleId="af5">
    <w:name w:val="Мэйл"/>
    <w:basedOn w:val="a2"/>
    <w:qFormat/>
    <w:rsid w:val="00BA3409"/>
    <w:pPr>
      <w:spacing w:after="120"/>
      <w:jc w:val="center"/>
    </w:pPr>
    <w:rPr>
      <w:sz w:val="22"/>
      <w:lang w:val="en-US"/>
    </w:rPr>
  </w:style>
  <w:style w:type="paragraph" w:styleId="af6">
    <w:name w:val="Title"/>
    <w:basedOn w:val="a2"/>
    <w:next w:val="a2"/>
    <w:link w:val="af7"/>
    <w:qFormat/>
    <w:rsid w:val="00BA3409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7">
    <w:name w:val="Название Знак"/>
    <w:basedOn w:val="a4"/>
    <w:link w:val="af6"/>
    <w:rsid w:val="00BA3409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val="ru-RU"/>
    </w:rPr>
  </w:style>
  <w:style w:type="paragraph" w:customStyle="1" w:styleId="a">
    <w:name w:val="Название рисунка"/>
    <w:basedOn w:val="a2"/>
    <w:qFormat/>
    <w:rsid w:val="00BA3409"/>
    <w:pPr>
      <w:numPr>
        <w:numId w:val="21"/>
      </w:numPr>
      <w:tabs>
        <w:tab w:val="left" w:pos="289"/>
      </w:tabs>
      <w:spacing w:before="120" w:after="200"/>
    </w:pPr>
    <w:rPr>
      <w:sz w:val="16"/>
    </w:rPr>
  </w:style>
  <w:style w:type="character" w:customStyle="1" w:styleId="a7">
    <w:name w:val="Основной текст Знак"/>
    <w:link w:val="a3"/>
    <w:rsid w:val="00BA3409"/>
    <w:rPr>
      <w:rFonts w:ascii="Times New Roman" w:eastAsia="MS Mincho" w:hAnsi="Times New Roman" w:cs="Times New Roman"/>
      <w:spacing w:val="-1"/>
      <w:sz w:val="20"/>
      <w:szCs w:val="20"/>
      <w:lang w:val="ru-RU"/>
    </w:rPr>
  </w:style>
  <w:style w:type="paragraph" w:styleId="a0">
    <w:name w:val="Bibliography"/>
    <w:basedOn w:val="a3"/>
    <w:next w:val="a2"/>
    <w:qFormat/>
    <w:rsid w:val="00562CB9"/>
    <w:pPr>
      <w:numPr>
        <w:numId w:val="22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562CB9"/>
    <w:pPr>
      <w:numPr>
        <w:numId w:val="23"/>
      </w:numPr>
      <w:spacing w:after="60"/>
      <w:ind w:left="714" w:hanging="357"/>
    </w:pPr>
  </w:style>
  <w:style w:type="paragraph" w:customStyle="1" w:styleId="af8">
    <w:name w:val="Строка таблицы"/>
    <w:basedOn w:val="a2"/>
    <w:qFormat/>
    <w:rsid w:val="00BA3409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BA3409"/>
    <w:pPr>
      <w:numPr>
        <w:numId w:val="24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9">
    <w:name w:val="Финансирование"/>
    <w:basedOn w:val="a2"/>
    <w:qFormat/>
    <w:rsid w:val="00BA3409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a">
    <w:name w:val="header"/>
    <w:basedOn w:val="a2"/>
    <w:link w:val="afb"/>
    <w:uiPriority w:val="99"/>
    <w:unhideWhenUsed/>
    <w:rsid w:val="00E86FBD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4"/>
    <w:link w:val="afa"/>
    <w:uiPriority w:val="99"/>
    <w:rsid w:val="00E86FBD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c">
    <w:name w:val="footer"/>
    <w:basedOn w:val="a2"/>
    <w:link w:val="afd"/>
    <w:uiPriority w:val="99"/>
    <w:unhideWhenUsed/>
    <w:rsid w:val="00E86FBD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a4"/>
    <w:link w:val="afc"/>
    <w:uiPriority w:val="99"/>
    <w:rsid w:val="00E86FBD"/>
    <w:rPr>
      <w:rFonts w:ascii="Times New Roman" w:eastAsia="Times New Roman" w:hAnsi="Times New Roman" w:cs="Times New Roman"/>
      <w:sz w:val="20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7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9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2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3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962697-BE76-4A2A-9B31-EAC0518D2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2191</Words>
  <Characters>12492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Leonid</dc:creator>
  <cp:lastModifiedBy>Ri</cp:lastModifiedBy>
  <cp:revision>2</cp:revision>
  <dcterms:created xsi:type="dcterms:W3CDTF">2026-04-16T13:25:00Z</dcterms:created>
  <dcterms:modified xsi:type="dcterms:W3CDTF">2026-04-16T13:25:00Z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2023-06-07T00:00:00Z</vt:filetime>
  </property>
</Properties>
</file>