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0951" w:rsidRPr="000A631C" w:rsidRDefault="00C95DCB" w:rsidP="000A631C">
      <w:pPr>
        <w:pStyle w:val="a7"/>
      </w:pPr>
      <w:r w:rsidRPr="000A631C">
        <w:t>Выбор эффективных</w:t>
      </w:r>
      <w:r w:rsidR="007E3F94" w:rsidRPr="000A631C">
        <w:t xml:space="preserve"> параметров помехоустойчивого кодирования при использовании HPSK модуляции в метеорном радиоканале</w:t>
      </w:r>
    </w:p>
    <w:p w:rsidR="00D80951" w:rsidRPr="000A631C" w:rsidRDefault="00D80951" w:rsidP="000A631C">
      <w:pPr>
        <w:pStyle w:val="a7"/>
        <w:sectPr w:rsidR="00D80951" w:rsidRPr="000A631C" w:rsidSect="00651B8E">
          <w:footerReference w:type="default" r:id="rId9"/>
          <w:pgSz w:w="11906" w:h="16838" w:code="9"/>
          <w:pgMar w:top="907" w:right="907" w:bottom="1440" w:left="907" w:header="709" w:footer="709" w:gutter="0"/>
          <w:pgNumType w:start="156"/>
          <w:cols w:space="708"/>
          <w:docGrid w:linePitch="360"/>
        </w:sectPr>
      </w:pPr>
    </w:p>
    <w:p w:rsidR="00D80951" w:rsidRPr="000A631C" w:rsidRDefault="007E3F94" w:rsidP="000A631C">
      <w:pPr>
        <w:pStyle w:val="aa"/>
      </w:pPr>
      <w:r>
        <w:lastRenderedPageBreak/>
        <w:t>С.</w:t>
      </w:r>
      <w:r w:rsidR="000A631C">
        <w:t xml:space="preserve"> </w:t>
      </w:r>
      <w:r>
        <w:t xml:space="preserve">В. </w:t>
      </w:r>
      <w:r w:rsidR="008D0348">
        <w:t>Морозов</w:t>
      </w:r>
    </w:p>
    <w:p w:rsidR="0013123C" w:rsidRPr="00D80951" w:rsidRDefault="007E3F94" w:rsidP="000A631C">
      <w:pPr>
        <w:pStyle w:val="ab"/>
      </w:pPr>
      <w:r w:rsidRPr="0044331E">
        <w:t xml:space="preserve">Санкт-Петербургский политехнический </w:t>
      </w:r>
      <w:r w:rsidR="000A631C">
        <w:br/>
      </w:r>
      <w:r w:rsidRPr="000A631C">
        <w:t>университет</w:t>
      </w:r>
      <w:r w:rsidRPr="0044331E">
        <w:t xml:space="preserve"> Петра Великого</w:t>
      </w:r>
    </w:p>
    <w:p w:rsidR="009F446D" w:rsidRPr="000A631C" w:rsidRDefault="008D0348" w:rsidP="000A631C">
      <w:pPr>
        <w:pStyle w:val="ac"/>
      </w:pPr>
      <w:proofErr w:type="spellStart"/>
      <w:r>
        <w:t>morozov</w:t>
      </w:r>
      <w:proofErr w:type="spellEnd"/>
      <w:r w:rsidRPr="00550F20">
        <w:rPr>
          <w:lang w:val="ru-RU"/>
        </w:rPr>
        <w:t>5.</w:t>
      </w:r>
      <w:proofErr w:type="spellStart"/>
      <w:r>
        <w:t>sv</w:t>
      </w:r>
      <w:proofErr w:type="spellEnd"/>
      <w:r w:rsidRPr="00550F20">
        <w:rPr>
          <w:lang w:val="ru-RU"/>
        </w:rPr>
        <w:t>@</w:t>
      </w:r>
      <w:r>
        <w:t>mail</w:t>
      </w:r>
      <w:r w:rsidRPr="00550F20">
        <w:rPr>
          <w:lang w:val="ru-RU"/>
        </w:rPr>
        <w:t>.</w:t>
      </w:r>
      <w:proofErr w:type="spellStart"/>
      <w:r>
        <w:t>ru</w:t>
      </w:r>
      <w:proofErr w:type="spellEnd"/>
      <w:r w:rsidRPr="007E3F94">
        <w:rPr>
          <w:lang w:val="ru-RU"/>
        </w:rPr>
        <w:t xml:space="preserve"> </w:t>
      </w:r>
    </w:p>
    <w:p w:rsidR="00D80951" w:rsidRPr="000A631C" w:rsidRDefault="009F446D" w:rsidP="000A631C">
      <w:pPr>
        <w:pStyle w:val="aa"/>
        <w:spacing w:before="120"/>
      </w:pPr>
      <w:r>
        <w:br w:type="column"/>
      </w:r>
      <w:r w:rsidR="007E3F94">
        <w:lastRenderedPageBreak/>
        <w:t>С.</w:t>
      </w:r>
      <w:r w:rsidR="000A631C">
        <w:t xml:space="preserve"> </w:t>
      </w:r>
      <w:r w:rsidR="007E3F94">
        <w:t xml:space="preserve">В. </w:t>
      </w:r>
      <w:r w:rsidR="008D0348">
        <w:t>Завьялов</w:t>
      </w:r>
    </w:p>
    <w:p w:rsidR="00D80951" w:rsidRDefault="007E3F94" w:rsidP="000A631C">
      <w:pPr>
        <w:pStyle w:val="ab"/>
      </w:pPr>
      <w:r w:rsidRPr="000A631C">
        <w:t>Санкт</w:t>
      </w:r>
      <w:r w:rsidRPr="0044331E">
        <w:t xml:space="preserve">-Петербургский политехнический </w:t>
      </w:r>
      <w:r w:rsidR="000A631C">
        <w:br/>
      </w:r>
      <w:r w:rsidRPr="0044331E">
        <w:t>университет Петра Великого</w:t>
      </w:r>
    </w:p>
    <w:p w:rsidR="00D80951" w:rsidRPr="007E3F94" w:rsidRDefault="008D0348" w:rsidP="00791CA2">
      <w:pPr>
        <w:pStyle w:val="ac"/>
        <w:rPr>
          <w:lang w:val="ru-RU"/>
        </w:rPr>
      </w:pPr>
      <w:r w:rsidRPr="007E3F94">
        <w:rPr>
          <w:lang w:val="ru-RU"/>
        </w:rPr>
        <w:t>zavyalov_sv@spbstu.ru</w:t>
      </w:r>
    </w:p>
    <w:p w:rsidR="00D80951" w:rsidRPr="00D80951" w:rsidRDefault="00D80951" w:rsidP="00D80951">
      <w:pPr>
        <w:pStyle w:val="ab"/>
        <w:sectPr w:rsidR="00D80951" w:rsidRPr="00D80951" w:rsidSect="00D80951">
          <w:type w:val="continuous"/>
          <w:pgSz w:w="11906" w:h="16838" w:code="9"/>
          <w:pgMar w:top="907" w:right="907" w:bottom="1440" w:left="907" w:header="709" w:footer="709" w:gutter="0"/>
          <w:cols w:num="2" w:space="708"/>
          <w:docGrid w:linePitch="360"/>
        </w:sectPr>
      </w:pPr>
    </w:p>
    <w:p w:rsidR="00D80951" w:rsidRPr="0013123C" w:rsidRDefault="00D80951" w:rsidP="009F446D">
      <w:pPr>
        <w:jc w:val="center"/>
      </w:pPr>
    </w:p>
    <w:p w:rsidR="0013123C" w:rsidRDefault="0013123C" w:rsidP="009F446D">
      <w:pPr>
        <w:jc w:val="center"/>
        <w:sectPr w:rsidR="0013123C" w:rsidSect="00D80951">
          <w:type w:val="continuous"/>
          <w:pgSz w:w="11906" w:h="16838" w:code="9"/>
          <w:pgMar w:top="907" w:right="907" w:bottom="1440" w:left="907" w:header="709" w:footer="709" w:gutter="0"/>
          <w:cols w:space="708"/>
          <w:docGrid w:linePitch="360"/>
        </w:sectPr>
      </w:pPr>
    </w:p>
    <w:p w:rsidR="0013123C" w:rsidRPr="00C778AC" w:rsidRDefault="0013123C" w:rsidP="00791CA2">
      <w:pPr>
        <w:pStyle w:val="ad"/>
        <w:rPr>
          <w:rFonts w:eastAsia="MS Mincho"/>
        </w:rPr>
      </w:pPr>
      <w:r w:rsidRPr="00AE6C42">
        <w:rPr>
          <w:i/>
        </w:rPr>
        <w:lastRenderedPageBreak/>
        <w:t>Аннотация</w:t>
      </w:r>
      <w:r w:rsidRPr="00791CA2">
        <w:rPr>
          <w:i/>
        </w:rPr>
        <w:t xml:space="preserve">. </w:t>
      </w:r>
      <w:r w:rsidR="000B522D" w:rsidRPr="00440DD2">
        <w:rPr>
          <w:szCs w:val="18"/>
        </w:rPr>
        <w:t xml:space="preserve">Ключевой задачей метеорной радиосвязи является повышение коэффициента использования канала. В работе выполнен анализ и </w:t>
      </w:r>
      <w:r w:rsidR="00760C79">
        <w:rPr>
          <w:szCs w:val="18"/>
        </w:rPr>
        <w:t xml:space="preserve">выбор эффективных </w:t>
      </w:r>
      <w:r w:rsidR="000B522D" w:rsidRPr="00440DD2">
        <w:rPr>
          <w:szCs w:val="18"/>
        </w:rPr>
        <w:t xml:space="preserve">параметров помехоустойчивого кодирования для модуляции HPSK. Исследование выполнено методом имитационного моделирования метеорного канала с учетом статистических характеристик длительности сеансов связи. В результате установлено, что выбор </w:t>
      </w:r>
      <w:r w:rsidR="00407A02">
        <w:rPr>
          <w:szCs w:val="18"/>
        </w:rPr>
        <w:t>эффективной</w:t>
      </w:r>
      <w:r w:rsidR="000B522D" w:rsidRPr="00440DD2">
        <w:rPr>
          <w:szCs w:val="18"/>
        </w:rPr>
        <w:t xml:space="preserve"> длины блока кода позволяет увеличить коэффициент использования канала относительно </w:t>
      </w:r>
      <w:proofErr w:type="spellStart"/>
      <w:r w:rsidR="000B522D" w:rsidRPr="00440DD2">
        <w:rPr>
          <w:szCs w:val="18"/>
        </w:rPr>
        <w:t>некодированных</w:t>
      </w:r>
      <w:proofErr w:type="spellEnd"/>
      <w:r w:rsidR="000B522D" w:rsidRPr="00440DD2">
        <w:rPr>
          <w:szCs w:val="18"/>
        </w:rPr>
        <w:t xml:space="preserve"> систем. Проведено сравнение предложенного подхода с классическими схемами фазовой манипуляции (BPSK/QPSK). Полученные результаты могут быть использованы при проектировании адаптивных модемов для УКВ диапазона.</w:t>
      </w:r>
    </w:p>
    <w:p w:rsidR="0013123C" w:rsidRDefault="0013123C" w:rsidP="0013123C">
      <w:pPr>
        <w:pStyle w:val="ae"/>
      </w:pPr>
      <w:r w:rsidRPr="0013123C">
        <w:t xml:space="preserve">Ключевые слова: </w:t>
      </w:r>
      <w:r w:rsidR="000B522D">
        <w:rPr>
          <w:rFonts w:eastAsia="MS Mincho"/>
        </w:rPr>
        <w:t>метеорная радиосвязь</w:t>
      </w:r>
      <w:r w:rsidR="000B522D" w:rsidRPr="000B522D">
        <w:rPr>
          <w:rFonts w:eastAsia="MS Mincho"/>
        </w:rPr>
        <w:t>;</w:t>
      </w:r>
      <w:r w:rsidR="000B522D">
        <w:rPr>
          <w:rFonts w:eastAsia="MS Mincho"/>
        </w:rPr>
        <w:t xml:space="preserve"> помехоустойчивое кодирование</w:t>
      </w:r>
      <w:r w:rsidR="000B522D" w:rsidRPr="000B522D">
        <w:rPr>
          <w:rFonts w:eastAsia="MS Mincho"/>
        </w:rPr>
        <w:t>;</w:t>
      </w:r>
      <w:r w:rsidR="000B522D">
        <w:rPr>
          <w:rFonts w:eastAsia="MS Mincho"/>
        </w:rPr>
        <w:t xml:space="preserve"> модуляция HPSK</w:t>
      </w:r>
      <w:r w:rsidR="000B522D" w:rsidRPr="000B522D">
        <w:rPr>
          <w:rFonts w:eastAsia="MS Mincho"/>
        </w:rPr>
        <w:t>; к</w:t>
      </w:r>
      <w:r w:rsidR="000A631C">
        <w:rPr>
          <w:rFonts w:eastAsia="MS Mincho"/>
        </w:rPr>
        <w:t>оэффициент использования канала</w:t>
      </w:r>
    </w:p>
    <w:p w:rsidR="0013123C" w:rsidRDefault="000B522D" w:rsidP="0013123C">
      <w:pPr>
        <w:pStyle w:val="1"/>
      </w:pPr>
      <w:r>
        <w:rPr>
          <w:lang w:eastAsia="zh-CN"/>
        </w:rPr>
        <w:t>Введение</w:t>
      </w:r>
    </w:p>
    <w:p w:rsidR="009F446D" w:rsidRDefault="000B522D" w:rsidP="00502710">
      <w:pPr>
        <w:pStyle w:val="a3"/>
      </w:pPr>
      <w:r w:rsidRPr="000B522D">
        <w:t>Повышенный интерес к системам метеорной радиосвязи (МРС) обусловлен уникальными свойствами метеорного канала. Данный канал отличается высокой устойчивостью к естественным и искусственным помехам. Использование диапазона 40–60 МГц обеспечивает дальность передачи до 2200 км, при этом он менее подвержен воздействию магнитных бурь и ионосферных возмущений по сравнению с КВ-диапазоном (3–30 МГц), применяемым в традиционных системах дальней связи [1]. Кроме того, геометрия распространения сигнала обеспечивает защиту от перехвата и преднамеренных помех [2]. Зона уверенного приема для каждой станции ограничена эллипсом малого размера – примерно 20 на 50 км. Следовательно, для перехвата сообщения злоумышленник должен находиться в непосредственной близости от приемо-передающих устройств. Не менее важными особенностями МРС являются мобильность станций и их независимость от инфраструктуры. Мощность питания не превышает 1 кВт, что позволяет добиться малых габаритов аппаратуры. Совокупность описанных свойств объясняет интерес исследователей к использованию МРС в качестве надежного резервного канала связи [3].</w:t>
      </w:r>
    </w:p>
    <w:p w:rsidR="000B522D" w:rsidRDefault="000B522D" w:rsidP="00502710">
      <w:pPr>
        <w:pStyle w:val="a3"/>
      </w:pPr>
      <w:r w:rsidRPr="000B522D">
        <w:t xml:space="preserve">Тем не менее, существенным недостатком МРС остается ограниченный объем передаваемой информации и низкая скорость передачи данных. Для повышения эффективности использования коротких сеансов связи (вспышек), проводились исследования по </w:t>
      </w:r>
      <w:r w:rsidRPr="000B522D">
        <w:lastRenderedPageBreak/>
        <w:t xml:space="preserve">совершенствованию протоколов передачи. Так, в работе [4] было показано, что предварительная оценка характеристик образовавшегося канала позволяет выбрать более эффективную схему многопозиционной модуляции, повышая тем самым коэффициент использования канала. Перспективным направлением также является применение </w:t>
      </w:r>
      <w:proofErr w:type="spellStart"/>
      <w:r w:rsidRPr="000B522D">
        <w:t>многонаправленных</w:t>
      </w:r>
      <w:proofErr w:type="spellEnd"/>
      <w:r w:rsidRPr="000B522D">
        <w:t xml:space="preserve"> антенных решеток, поз</w:t>
      </w:r>
      <w:r w:rsidR="00E219D2">
        <w:t xml:space="preserve">воляющих снизить требования к </w:t>
      </w:r>
      <w:r w:rsidRPr="000B522D">
        <w:t xml:space="preserve">отношению сигнал/шум (С/Ш) на приемной стороне [5]. </w:t>
      </w:r>
      <w:r w:rsidR="00B33D46">
        <w:t>Одним из</w:t>
      </w:r>
      <w:r w:rsidRPr="000B522D">
        <w:t xml:space="preserve"> подходо</w:t>
      </w:r>
      <w:r w:rsidR="00B33D46">
        <w:t>в</w:t>
      </w:r>
      <w:r w:rsidRPr="000B522D">
        <w:t xml:space="preserve"> к решению задачи максимизации объема передаваемой информации является подбор сигнального созвездия</w:t>
      </w:r>
      <w:r w:rsidR="00B33D46">
        <w:t xml:space="preserve"> под свойства канала</w:t>
      </w:r>
      <w:r w:rsidRPr="000B522D">
        <w:t xml:space="preserve">. Анализ многопозиционных видов фазовой и частотной манипуляции был проведен в [6]. Однако существующие подходы не в полной мере учитывают специфику </w:t>
      </w:r>
      <w:proofErr w:type="spellStart"/>
      <w:r w:rsidRPr="000B522D">
        <w:t>быстрозатухающего</w:t>
      </w:r>
      <w:proofErr w:type="spellEnd"/>
      <w:r w:rsidRPr="000B522D">
        <w:t xml:space="preserve"> сигнала в канале МРС.</w:t>
      </w:r>
    </w:p>
    <w:p w:rsidR="009F446D" w:rsidRDefault="000B522D" w:rsidP="009F446D">
      <w:pPr>
        <w:pStyle w:val="a3"/>
      </w:pPr>
      <w:r w:rsidRPr="000B522D">
        <w:t xml:space="preserve">В связи с этим, целью данной работы является исследование применимости метода модуляции </w:t>
      </w:r>
      <w:proofErr w:type="spellStart"/>
      <w:r w:rsidRPr="000B522D">
        <w:t>Hyper</w:t>
      </w:r>
      <w:proofErr w:type="spellEnd"/>
      <w:r w:rsidRPr="000B522D">
        <w:t xml:space="preserve"> </w:t>
      </w:r>
      <w:proofErr w:type="spellStart"/>
      <w:r w:rsidRPr="000B522D">
        <w:t>Phase</w:t>
      </w:r>
      <w:proofErr w:type="spellEnd"/>
      <w:r w:rsidRPr="000B522D">
        <w:t xml:space="preserve"> </w:t>
      </w:r>
      <w:proofErr w:type="spellStart"/>
      <w:r w:rsidRPr="000B522D">
        <w:t>Shift</w:t>
      </w:r>
      <w:proofErr w:type="spellEnd"/>
      <w:r w:rsidRPr="000B522D">
        <w:t xml:space="preserve"> </w:t>
      </w:r>
      <w:proofErr w:type="spellStart"/>
      <w:r w:rsidRPr="000B522D">
        <w:t>Keying</w:t>
      </w:r>
      <w:proofErr w:type="spellEnd"/>
      <w:r w:rsidRPr="000B522D">
        <w:t xml:space="preserve"> (HPSK)</w:t>
      </w:r>
      <w:r w:rsidR="003575F1">
        <w:t xml:space="preserve"> </w:t>
      </w:r>
      <w:r w:rsidR="003575F1" w:rsidRPr="003575F1">
        <w:t>[7]</w:t>
      </w:r>
      <w:r w:rsidRPr="000B522D">
        <w:t xml:space="preserve"> в канале МРС и подбор </w:t>
      </w:r>
      <w:r w:rsidR="00407A02">
        <w:t>эффективных</w:t>
      </w:r>
      <w:r w:rsidRPr="000B522D">
        <w:t xml:space="preserve"> параметров помехоустойчивых кодов Рида–Соломона для увеличения коэффициента использования канала. Основная идея заключается в</w:t>
      </w:r>
      <w:r w:rsidR="00E219D2">
        <w:t xml:space="preserve"> снижении порогового значения </w:t>
      </w:r>
      <w:r w:rsidRPr="000B522D">
        <w:t>отношения сигнал/шум (С/Ш), определяющего эффективную длительность метеорного следа. Применение кодирования позволит продлить время доступности канала за счет коррекции ошибок на фоне затухающего сигнала</w:t>
      </w:r>
      <w:r w:rsidR="009F446D">
        <w:t xml:space="preserve">. </w:t>
      </w:r>
    </w:p>
    <w:p w:rsidR="003575F1" w:rsidRDefault="003575F1" w:rsidP="003575F1">
      <w:pPr>
        <w:pStyle w:val="1"/>
      </w:pPr>
      <w:r>
        <w:t xml:space="preserve">Математическая модель и методика имитационного моделирования </w:t>
      </w:r>
    </w:p>
    <w:p w:rsidR="009F446D" w:rsidRDefault="003575F1" w:rsidP="009F446D">
      <w:pPr>
        <w:pStyle w:val="2"/>
      </w:pPr>
      <w:r>
        <w:t xml:space="preserve">Модель сигнала </w:t>
      </w:r>
      <w:r>
        <w:rPr>
          <w:lang w:val="en-GB"/>
        </w:rPr>
        <w:t>HPSK</w:t>
      </w:r>
    </w:p>
    <w:p w:rsidR="00502710" w:rsidRDefault="003575F1" w:rsidP="00502710">
      <w:pPr>
        <w:pStyle w:val="a3"/>
        <w:rPr>
          <w:lang w:val="en-GB"/>
        </w:rPr>
      </w:pPr>
      <w:r w:rsidRPr="003575F1">
        <w:t>Рассмотрим математическую модель сигнала с модуляцией HPSK. Она характеризуется четырехмерным сигнальным пространством. Базисные функции имеют следующий вид:</w:t>
      </w:r>
      <w:r w:rsidR="00502710">
        <w:t xml:space="preserve"> </w:t>
      </w:r>
    </w:p>
    <w:bookmarkStart w:id="0" w:name="_GoBack"/>
    <w:bookmarkEnd w:id="0"/>
    <w:p w:rsidR="003575F1" w:rsidRDefault="003575F1" w:rsidP="005667B5">
      <w:pPr>
        <w:pStyle w:val="a3"/>
        <w:jc w:val="center"/>
        <w:rPr>
          <w:lang w:val="en-GB"/>
        </w:rPr>
      </w:pPr>
      <w:r w:rsidRPr="003575F1">
        <w:rPr>
          <w:position w:val="-4"/>
          <w:lang w:val="en-GB"/>
        </w:rPr>
        <w:object w:dxaOrig="18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13.5pt" o:ole="">
            <v:imagedata r:id="rId10" o:title=""/>
          </v:shape>
          <o:OLEObject Type="Embed" ProgID="Equation.DSMT4" ShapeID="_x0000_i1025" DrawAspect="Content" ObjectID="_1837855492" r:id="rId11"/>
        </w:object>
      </w:r>
      <w:r>
        <w:tab/>
      </w:r>
      <w:r w:rsidR="005667B5" w:rsidRPr="003575F1">
        <w:rPr>
          <w:position w:val="-60"/>
        </w:rPr>
        <w:object w:dxaOrig="2840" w:dyaOrig="1300">
          <v:shape id="_x0000_i1026" type="#_x0000_t75" style="width:142.5pt;height:65pt" o:ole="">
            <v:imagedata r:id="rId12" o:title=""/>
          </v:shape>
          <o:OLEObject Type="Embed" ProgID="Equation.DSMT4" ShapeID="_x0000_i1026" DrawAspect="Content" ObjectID="_1837855493" r:id="rId13"/>
        </w:object>
      </w:r>
    </w:p>
    <w:p w:rsidR="005667B5" w:rsidRPr="00B33D46" w:rsidRDefault="005667B5" w:rsidP="005667B5">
      <w:pPr>
        <w:pStyle w:val="MTDisplayEquation"/>
        <w:rPr>
          <w:lang w:val="ru-RU"/>
        </w:rPr>
      </w:pPr>
      <w:r>
        <w:lastRenderedPageBreak/>
        <w:tab/>
      </w:r>
      <w:r w:rsidR="00B33D46" w:rsidRPr="005667B5">
        <w:rPr>
          <w:position w:val="-60"/>
        </w:rPr>
        <w:object w:dxaOrig="2760" w:dyaOrig="1300">
          <v:shape id="_x0000_i1027" type="#_x0000_t75" style="width:138pt;height:65pt" o:ole="">
            <v:imagedata r:id="rId14" o:title=""/>
          </v:shape>
          <o:OLEObject Type="Embed" ProgID="Equation.DSMT4" ShapeID="_x0000_i1027" DrawAspect="Content" ObjectID="_1837855494" r:id="rId15"/>
        </w:object>
      </w:r>
      <w:r w:rsidR="00B33D46">
        <w:rPr>
          <w:lang w:val="ru-RU"/>
        </w:rPr>
        <w:t>,</w:t>
      </w:r>
    </w:p>
    <w:p w:rsidR="00B33D46" w:rsidRPr="00B33D46" w:rsidRDefault="00B33D46" w:rsidP="000A631C">
      <w:pPr>
        <w:pStyle w:val="a3"/>
        <w:ind w:firstLine="0"/>
      </w:pPr>
      <w:r>
        <w:t xml:space="preserve">где </w:t>
      </w:r>
      <w:proofErr w:type="spellStart"/>
      <w:r w:rsidRPr="00B33D46">
        <w:rPr>
          <w:i/>
          <w:lang w:val="en-US"/>
        </w:rPr>
        <w:t>E</w:t>
      </w:r>
      <w:r w:rsidRPr="00B33D46">
        <w:rPr>
          <w:i/>
          <w:vertAlign w:val="subscript"/>
          <w:lang w:val="en-US"/>
        </w:rPr>
        <w:t>s</w:t>
      </w:r>
      <w:proofErr w:type="spellEnd"/>
      <w:r w:rsidRPr="00B33D46">
        <w:t xml:space="preserve"> – </w:t>
      </w:r>
      <w:r>
        <w:t xml:space="preserve">энергия сигнала, </w:t>
      </w:r>
      <w:r w:rsidRPr="00B33D46">
        <w:rPr>
          <w:i/>
        </w:rPr>
        <w:t>А</w:t>
      </w:r>
      <w:r>
        <w:t xml:space="preserve"> – амплитуда сигналов, </w:t>
      </w:r>
      <w:r w:rsidRPr="00B33D46">
        <w:rPr>
          <w:i/>
        </w:rPr>
        <w:t>Т</w:t>
      </w:r>
      <w:r>
        <w:t xml:space="preserve"> – длительность сигналов, </w:t>
      </w:r>
      <w:r w:rsidRPr="00B33D46">
        <w:rPr>
          <w:i/>
          <w:lang w:val="en-US"/>
        </w:rPr>
        <w:t>f</w:t>
      </w:r>
      <w:r w:rsidRPr="00B33D46">
        <w:rPr>
          <w:i/>
          <w:vertAlign w:val="subscript"/>
          <w:lang w:val="en-US"/>
        </w:rPr>
        <w:t>c</w:t>
      </w:r>
      <w:r>
        <w:t xml:space="preserve"> – частота несущей частоты.</w:t>
      </w:r>
    </w:p>
    <w:p w:rsidR="00502710" w:rsidRPr="000A631C" w:rsidRDefault="005667B5" w:rsidP="000A631C">
      <w:pPr>
        <w:pStyle w:val="a3"/>
      </w:pPr>
      <w:r w:rsidRPr="005667B5">
        <w:t>Тогда передаваемый сигнал может быть представлен в виде линейной комбинации базисных функций</w:t>
      </w:r>
      <w:r>
        <w:t>:</w:t>
      </w:r>
    </w:p>
    <w:p w:rsidR="005667B5" w:rsidRDefault="005667B5" w:rsidP="00502710">
      <w:pPr>
        <w:pStyle w:val="a3"/>
      </w:pPr>
      <w:r w:rsidRPr="005667B5">
        <w:rPr>
          <w:position w:val="-22"/>
        </w:rPr>
        <w:object w:dxaOrig="4280" w:dyaOrig="600">
          <v:shape id="_x0000_i1028" type="#_x0000_t75" style="width:214pt;height:30pt" o:ole="">
            <v:imagedata r:id="rId16" o:title=""/>
          </v:shape>
          <o:OLEObject Type="Embed" ProgID="Equation.DSMT4" ShapeID="_x0000_i1028" DrawAspect="Content" ObjectID="_1837855495" r:id="rId17"/>
        </w:object>
      </w:r>
      <w:r w:rsidR="00B33D46">
        <w:t>,</w:t>
      </w:r>
    </w:p>
    <w:p w:rsidR="00B33D46" w:rsidRPr="000A631C" w:rsidRDefault="00B33D46" w:rsidP="000A631C">
      <w:pPr>
        <w:pStyle w:val="a3"/>
        <w:ind w:firstLine="0"/>
      </w:pPr>
      <w:r>
        <w:t>где</w:t>
      </w:r>
      <w:r w:rsidRPr="00B33D46">
        <w:t xml:space="preserve"> </w:t>
      </w:r>
      <w:proofErr w:type="spellStart"/>
      <w:r w:rsidRPr="00B33D46">
        <w:rPr>
          <w:i/>
          <w:lang w:val="en-US"/>
        </w:rPr>
        <w:t>s</w:t>
      </w:r>
      <w:r w:rsidRPr="00B33D46">
        <w:rPr>
          <w:i/>
          <w:vertAlign w:val="subscript"/>
          <w:lang w:val="en-US"/>
        </w:rPr>
        <w:t>n</w:t>
      </w:r>
      <w:proofErr w:type="spellEnd"/>
      <w:r w:rsidRPr="00B33D46">
        <w:rPr>
          <w:vertAlign w:val="subscript"/>
        </w:rPr>
        <w:t>1</w:t>
      </w:r>
      <w:r w:rsidRPr="00B33D46">
        <w:t xml:space="preserve">, </w:t>
      </w:r>
      <w:proofErr w:type="spellStart"/>
      <w:r w:rsidRPr="00B33D46">
        <w:rPr>
          <w:i/>
          <w:lang w:val="en-US"/>
        </w:rPr>
        <w:t>s</w:t>
      </w:r>
      <w:r w:rsidRPr="00B33D46">
        <w:rPr>
          <w:i/>
          <w:vertAlign w:val="subscript"/>
          <w:lang w:val="en-US"/>
        </w:rPr>
        <w:t>n</w:t>
      </w:r>
      <w:proofErr w:type="spellEnd"/>
      <w:r w:rsidRPr="00B33D46">
        <w:rPr>
          <w:vertAlign w:val="subscript"/>
        </w:rPr>
        <w:t>2</w:t>
      </w:r>
      <w:r w:rsidRPr="00B33D46">
        <w:t xml:space="preserve">, </w:t>
      </w:r>
      <w:proofErr w:type="spellStart"/>
      <w:r w:rsidRPr="00B33D46">
        <w:rPr>
          <w:i/>
          <w:lang w:val="en-US"/>
        </w:rPr>
        <w:t>s</w:t>
      </w:r>
      <w:r w:rsidRPr="00B33D46">
        <w:rPr>
          <w:i/>
          <w:vertAlign w:val="subscript"/>
          <w:lang w:val="en-US"/>
        </w:rPr>
        <w:t>n</w:t>
      </w:r>
      <w:proofErr w:type="spellEnd"/>
      <w:r w:rsidRPr="00B33D46">
        <w:rPr>
          <w:vertAlign w:val="subscript"/>
        </w:rPr>
        <w:t>3</w:t>
      </w:r>
      <w:r w:rsidRPr="00B33D46">
        <w:t xml:space="preserve">, </w:t>
      </w:r>
      <w:proofErr w:type="spellStart"/>
      <w:r w:rsidRPr="00B33D46">
        <w:rPr>
          <w:i/>
          <w:lang w:val="en-US"/>
        </w:rPr>
        <w:t>s</w:t>
      </w:r>
      <w:r w:rsidRPr="00B33D46">
        <w:rPr>
          <w:i/>
          <w:vertAlign w:val="subscript"/>
          <w:lang w:val="en-US"/>
        </w:rPr>
        <w:t>n</w:t>
      </w:r>
      <w:proofErr w:type="spellEnd"/>
      <w:r w:rsidRPr="00B33D46">
        <w:rPr>
          <w:vertAlign w:val="subscript"/>
        </w:rPr>
        <w:t>4</w:t>
      </w:r>
      <w:r w:rsidRPr="00B33D46">
        <w:t xml:space="preserve"> – </w:t>
      </w:r>
      <w:r>
        <w:t>весовые коэффициенты, φ</w:t>
      </w:r>
      <w:r w:rsidRPr="00B33D46">
        <w:rPr>
          <w:vertAlign w:val="subscript"/>
        </w:rPr>
        <w:t>1</w:t>
      </w:r>
      <w:r>
        <w:t>,</w:t>
      </w:r>
      <w:r w:rsidRPr="00B33D46">
        <w:t xml:space="preserve"> </w:t>
      </w:r>
      <w:r>
        <w:t>φ</w:t>
      </w:r>
      <w:r>
        <w:rPr>
          <w:vertAlign w:val="subscript"/>
        </w:rPr>
        <w:t>2</w:t>
      </w:r>
      <w:r>
        <w:t>, φ</w:t>
      </w:r>
      <w:r>
        <w:rPr>
          <w:vertAlign w:val="subscript"/>
        </w:rPr>
        <w:t>3</w:t>
      </w:r>
      <w:r>
        <w:t>, φ</w:t>
      </w:r>
      <w:r>
        <w:rPr>
          <w:vertAlign w:val="subscript"/>
        </w:rPr>
        <w:t>4</w:t>
      </w:r>
      <w:r>
        <w:t xml:space="preserve"> – базисные функции.</w:t>
      </w:r>
    </w:p>
    <w:p w:rsidR="00711520" w:rsidRPr="00550F20" w:rsidRDefault="00FF1F60" w:rsidP="000A631C">
      <w:pPr>
        <w:pStyle w:val="a3"/>
      </w:pPr>
      <w:r w:rsidRPr="00FF1F60">
        <w:t xml:space="preserve">Данный тип модуляции обладает повышенной помехоустойчивостью по сравнению с классическими схемами фазовой модуляции при той же спектральной эффективности. </w:t>
      </w:r>
      <w:r w:rsidRPr="00550F20">
        <w:t>Платой за это преимущество является повышенный пик-фактор: для 16-</w:t>
      </w:r>
      <w:r w:rsidRPr="00FF1F60">
        <w:t>HPSK</w:t>
      </w:r>
      <w:r w:rsidRPr="00550F20">
        <w:t xml:space="preserve"> он составляет 6 дБ против 3 дБ для </w:t>
      </w:r>
      <w:r w:rsidRPr="00FF1F60">
        <w:t>M</w:t>
      </w:r>
      <w:r w:rsidRPr="00550F20">
        <w:t>-</w:t>
      </w:r>
      <w:r w:rsidRPr="00FF1F60">
        <w:t>PSK</w:t>
      </w:r>
      <w:r w:rsidRPr="00550F20">
        <w:t>. Для количественной оценки эффективности рассматриваемых схем модуляци</w:t>
      </w:r>
      <w:r w:rsidR="00E219D2">
        <w:t>и определим пороговый уровень о</w:t>
      </w:r>
      <w:r w:rsidRPr="00550F20">
        <w:t>тношения сигнал</w:t>
      </w:r>
      <w:r w:rsidR="00764C27">
        <w:t>-</w:t>
      </w:r>
      <w:r w:rsidRPr="00550F20">
        <w:t xml:space="preserve">шум (С/Ш), при котором достигается вероятность битовой ошибки </w:t>
      </w:r>
      <w:r w:rsidRPr="00FF1F60">
        <w:rPr>
          <w:position w:val="-10"/>
        </w:rPr>
        <w:object w:dxaOrig="760" w:dyaOrig="320">
          <v:shape id="_x0000_i1029" type="#_x0000_t75" style="width:37.5pt;height:16.5pt" o:ole="">
            <v:imagedata r:id="rId18" o:title=""/>
          </v:shape>
          <o:OLEObject Type="Embed" ProgID="Equation.DSMT4" ShapeID="_x0000_i1029" DrawAspect="Content" ObjectID="_1837855496" r:id="rId19"/>
        </w:object>
      </w:r>
      <w:r w:rsidRPr="00550F20">
        <w:t>– значение, достаточное для начала устойчивой передачи сообщения. Полученные значения порогового уровня С/</w:t>
      </w:r>
      <w:proofErr w:type="gramStart"/>
      <w:r w:rsidRPr="00550F20">
        <w:t>Ш</w:t>
      </w:r>
      <w:proofErr w:type="gramEnd"/>
      <w:r w:rsidRPr="00550F20">
        <w:t xml:space="preserve"> для исследуемых видов модуляции представлены в табл</w:t>
      </w:r>
      <w:r w:rsidR="007404AC">
        <w:t>.</w:t>
      </w:r>
      <w:r w:rsidRPr="00550F20">
        <w:t xml:space="preserve"> 1.</w:t>
      </w:r>
    </w:p>
    <w:p w:rsidR="00711520" w:rsidRPr="0071573A" w:rsidRDefault="00764C27" w:rsidP="007404AC">
      <w:pPr>
        <w:pStyle w:val="a1"/>
      </w:pPr>
      <w:r>
        <w:t>П</w:t>
      </w:r>
      <w:r w:rsidRPr="00764C27">
        <w:t>орогов</w:t>
      </w:r>
      <w:r>
        <w:t>ые</w:t>
      </w:r>
      <w:r w:rsidRPr="00764C27">
        <w:t xml:space="preserve"> </w:t>
      </w:r>
      <w:r w:rsidRPr="007404AC">
        <w:t>значения</w:t>
      </w:r>
      <w:r>
        <w:t xml:space="preserve"> отношения сигнал-шум</w:t>
      </w:r>
    </w:p>
    <w:tbl>
      <w:tblPr>
        <w:tblStyle w:val="af0"/>
        <w:tblW w:w="4876" w:type="dxa"/>
        <w:jc w:val="center"/>
        <w:tblLook w:val="04A0" w:firstRow="1" w:lastRow="0" w:firstColumn="1" w:lastColumn="0" w:noHBand="0" w:noVBand="1"/>
      </w:tblPr>
      <w:tblGrid>
        <w:gridCol w:w="1625"/>
        <w:gridCol w:w="9"/>
        <w:gridCol w:w="1627"/>
        <w:gridCol w:w="1615"/>
      </w:tblGrid>
      <w:tr w:rsidR="00373376" w:rsidTr="005A468E">
        <w:trPr>
          <w:jc w:val="center"/>
        </w:trPr>
        <w:tc>
          <w:tcPr>
            <w:tcW w:w="1634" w:type="dxa"/>
            <w:gridSpan w:val="2"/>
          </w:tcPr>
          <w:p w:rsidR="00373376" w:rsidRPr="00FF1F60" w:rsidRDefault="00FF1F60" w:rsidP="005A468E">
            <w:pPr>
              <w:pStyle w:val="af1"/>
              <w:jc w:val="center"/>
              <w:rPr>
                <w:rFonts w:eastAsiaTheme="minorEastAsia"/>
                <w:b/>
                <w:lang w:eastAsia="zh-CN"/>
              </w:rPr>
            </w:pPr>
            <w:r>
              <w:rPr>
                <w:rFonts w:eastAsiaTheme="minorEastAsia"/>
                <w:b/>
                <w:lang w:eastAsia="zh-CN"/>
              </w:rPr>
              <w:t>Модуляция</w:t>
            </w:r>
          </w:p>
        </w:tc>
        <w:tc>
          <w:tcPr>
            <w:tcW w:w="1627" w:type="dxa"/>
          </w:tcPr>
          <w:p w:rsidR="00373376" w:rsidRPr="00FF1F60" w:rsidRDefault="00FF1F60" w:rsidP="005A468E">
            <w:pPr>
              <w:pStyle w:val="af1"/>
              <w:jc w:val="center"/>
              <w:rPr>
                <w:b/>
              </w:rPr>
            </w:pPr>
            <w:r w:rsidRPr="00FF1F60">
              <w:rPr>
                <w:b/>
              </w:rPr>
              <w:t>Кодирование</w:t>
            </w:r>
          </w:p>
        </w:tc>
        <w:tc>
          <w:tcPr>
            <w:tcW w:w="1615" w:type="dxa"/>
          </w:tcPr>
          <w:p w:rsidR="00373376" w:rsidRPr="00FF1F60" w:rsidRDefault="00FF1F60" w:rsidP="005A468E">
            <w:pPr>
              <w:pStyle w:val="af1"/>
              <w:jc w:val="center"/>
              <w:rPr>
                <w:b/>
              </w:rPr>
            </w:pPr>
            <w:r w:rsidRPr="00FF1F60">
              <w:rPr>
                <w:b/>
              </w:rPr>
              <w:t>Порог С/Ш, дБ</w:t>
            </w:r>
          </w:p>
        </w:tc>
      </w:tr>
      <w:tr w:rsidR="00373376" w:rsidTr="005A468E">
        <w:trPr>
          <w:jc w:val="center"/>
        </w:trPr>
        <w:tc>
          <w:tcPr>
            <w:tcW w:w="1634" w:type="dxa"/>
            <w:gridSpan w:val="2"/>
          </w:tcPr>
          <w:p w:rsidR="00373376" w:rsidRPr="00FF1F60" w:rsidRDefault="00FF1F60" w:rsidP="005A468E">
            <w:pPr>
              <w:pStyle w:val="af1"/>
              <w:jc w:val="center"/>
              <w:rPr>
                <w:lang w:val="en-GB"/>
              </w:rPr>
            </w:pPr>
            <w:r>
              <w:rPr>
                <w:lang w:val="en-GB"/>
              </w:rPr>
              <w:t>BPSK</w:t>
            </w:r>
          </w:p>
        </w:tc>
        <w:tc>
          <w:tcPr>
            <w:tcW w:w="1627" w:type="dxa"/>
          </w:tcPr>
          <w:p w:rsidR="00373376" w:rsidRPr="005A468E" w:rsidRDefault="005A468E" w:rsidP="005A468E">
            <w:pPr>
              <w:pStyle w:val="af1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Без кодирования</w:t>
            </w:r>
          </w:p>
        </w:tc>
        <w:tc>
          <w:tcPr>
            <w:tcW w:w="1615" w:type="dxa"/>
          </w:tcPr>
          <w:p w:rsidR="00373376" w:rsidRPr="005A468E" w:rsidRDefault="005A468E" w:rsidP="005A468E">
            <w:pPr>
              <w:pStyle w:val="af1"/>
              <w:jc w:val="center"/>
              <w:rPr>
                <w:lang w:val="en-GB"/>
              </w:rPr>
            </w:pPr>
            <w:r>
              <w:rPr>
                <w:lang w:val="en-GB"/>
              </w:rPr>
              <w:t>9,6</w:t>
            </w:r>
          </w:p>
        </w:tc>
      </w:tr>
      <w:tr w:rsidR="00FF1F60" w:rsidTr="005A468E">
        <w:trPr>
          <w:jc w:val="center"/>
        </w:trPr>
        <w:tc>
          <w:tcPr>
            <w:tcW w:w="1634" w:type="dxa"/>
            <w:gridSpan w:val="2"/>
          </w:tcPr>
          <w:p w:rsidR="00FF1F60" w:rsidRDefault="005A468E" w:rsidP="005A468E">
            <w:pPr>
              <w:pStyle w:val="af1"/>
              <w:jc w:val="center"/>
              <w:rPr>
                <w:lang w:val="en-GB"/>
              </w:rPr>
            </w:pPr>
            <w:r>
              <w:rPr>
                <w:lang w:val="en-GB"/>
              </w:rPr>
              <w:t>BFSK</w:t>
            </w:r>
          </w:p>
        </w:tc>
        <w:tc>
          <w:tcPr>
            <w:tcW w:w="1627" w:type="dxa"/>
          </w:tcPr>
          <w:p w:rsidR="00FF1F60" w:rsidRDefault="005A468E" w:rsidP="005A468E">
            <w:pPr>
              <w:pStyle w:val="af1"/>
              <w:jc w:val="center"/>
            </w:pPr>
            <w:r>
              <w:rPr>
                <w:rFonts w:eastAsiaTheme="minorEastAsia"/>
                <w:lang w:eastAsia="zh-CN"/>
              </w:rPr>
              <w:t>Без кодирования</w:t>
            </w:r>
          </w:p>
        </w:tc>
        <w:tc>
          <w:tcPr>
            <w:tcW w:w="1615" w:type="dxa"/>
          </w:tcPr>
          <w:p w:rsidR="00FF1F60" w:rsidRPr="005A468E" w:rsidRDefault="005A468E" w:rsidP="005A468E">
            <w:pPr>
              <w:pStyle w:val="af1"/>
              <w:jc w:val="center"/>
              <w:rPr>
                <w:lang w:val="en-GB"/>
              </w:rPr>
            </w:pPr>
            <w:r>
              <w:rPr>
                <w:lang w:val="en-GB"/>
              </w:rPr>
              <w:t>13,3</w:t>
            </w:r>
          </w:p>
        </w:tc>
      </w:tr>
      <w:tr w:rsidR="00FF1F60" w:rsidTr="005A468E">
        <w:trPr>
          <w:jc w:val="center"/>
        </w:trPr>
        <w:tc>
          <w:tcPr>
            <w:tcW w:w="1634" w:type="dxa"/>
            <w:gridSpan w:val="2"/>
          </w:tcPr>
          <w:p w:rsidR="00FF1F60" w:rsidRDefault="005A468E" w:rsidP="005A468E">
            <w:pPr>
              <w:pStyle w:val="af1"/>
              <w:jc w:val="center"/>
              <w:rPr>
                <w:lang w:val="en-GB"/>
              </w:rPr>
            </w:pPr>
            <w:r>
              <w:rPr>
                <w:lang w:val="en-GB"/>
              </w:rPr>
              <w:t>16-PSK</w:t>
            </w:r>
          </w:p>
        </w:tc>
        <w:tc>
          <w:tcPr>
            <w:tcW w:w="1627" w:type="dxa"/>
          </w:tcPr>
          <w:p w:rsidR="00FF1F60" w:rsidRDefault="005A468E" w:rsidP="005A468E">
            <w:pPr>
              <w:pStyle w:val="af1"/>
              <w:jc w:val="center"/>
            </w:pPr>
            <w:r>
              <w:rPr>
                <w:rFonts w:eastAsiaTheme="minorEastAsia"/>
                <w:lang w:eastAsia="zh-CN"/>
              </w:rPr>
              <w:t>Без кодирования</w:t>
            </w:r>
          </w:p>
        </w:tc>
        <w:tc>
          <w:tcPr>
            <w:tcW w:w="1615" w:type="dxa"/>
          </w:tcPr>
          <w:p w:rsidR="00FF1F60" w:rsidRPr="005A468E" w:rsidRDefault="005A468E" w:rsidP="005A468E">
            <w:pPr>
              <w:pStyle w:val="af1"/>
              <w:jc w:val="center"/>
              <w:rPr>
                <w:lang w:val="en-GB"/>
              </w:rPr>
            </w:pPr>
            <w:r>
              <w:rPr>
                <w:lang w:val="en-GB"/>
              </w:rPr>
              <w:t>17,5</w:t>
            </w:r>
          </w:p>
        </w:tc>
      </w:tr>
      <w:tr w:rsidR="00FF1F60" w:rsidTr="005A468E">
        <w:trPr>
          <w:jc w:val="center"/>
        </w:trPr>
        <w:tc>
          <w:tcPr>
            <w:tcW w:w="1625" w:type="dxa"/>
          </w:tcPr>
          <w:p w:rsidR="00FF1F60" w:rsidRDefault="005A468E" w:rsidP="005A468E">
            <w:pPr>
              <w:pStyle w:val="af1"/>
              <w:jc w:val="center"/>
              <w:rPr>
                <w:lang w:val="en-GB"/>
              </w:rPr>
            </w:pPr>
            <w:r>
              <w:rPr>
                <w:lang w:val="en-GB"/>
              </w:rPr>
              <w:t>16-HPSK</w:t>
            </w:r>
          </w:p>
        </w:tc>
        <w:tc>
          <w:tcPr>
            <w:tcW w:w="1636" w:type="dxa"/>
            <w:gridSpan w:val="2"/>
          </w:tcPr>
          <w:p w:rsidR="00FF1F60" w:rsidRDefault="005A468E" w:rsidP="005A468E">
            <w:pPr>
              <w:pStyle w:val="af1"/>
              <w:jc w:val="center"/>
            </w:pPr>
            <w:r>
              <w:rPr>
                <w:rFonts w:eastAsiaTheme="minorEastAsia"/>
                <w:lang w:eastAsia="zh-CN"/>
              </w:rPr>
              <w:t>Без кодирования</w:t>
            </w:r>
          </w:p>
        </w:tc>
        <w:tc>
          <w:tcPr>
            <w:tcW w:w="1615" w:type="dxa"/>
          </w:tcPr>
          <w:p w:rsidR="00FF1F60" w:rsidRPr="005A468E" w:rsidRDefault="005A468E" w:rsidP="005A468E">
            <w:pPr>
              <w:pStyle w:val="af1"/>
              <w:jc w:val="center"/>
              <w:rPr>
                <w:lang w:val="en-GB"/>
              </w:rPr>
            </w:pPr>
            <w:r>
              <w:rPr>
                <w:lang w:val="en-GB"/>
              </w:rPr>
              <w:t>9,6</w:t>
            </w:r>
          </w:p>
        </w:tc>
      </w:tr>
      <w:tr w:rsidR="00FF1F60" w:rsidTr="005A468E">
        <w:trPr>
          <w:jc w:val="center"/>
        </w:trPr>
        <w:tc>
          <w:tcPr>
            <w:tcW w:w="1625" w:type="dxa"/>
          </w:tcPr>
          <w:p w:rsidR="00FF1F60" w:rsidRDefault="005A468E" w:rsidP="005A468E">
            <w:pPr>
              <w:pStyle w:val="af1"/>
              <w:jc w:val="center"/>
              <w:rPr>
                <w:lang w:val="en-GB"/>
              </w:rPr>
            </w:pPr>
            <w:r>
              <w:rPr>
                <w:lang w:val="en-GB"/>
              </w:rPr>
              <w:t>16-HPSK</w:t>
            </w:r>
          </w:p>
        </w:tc>
        <w:tc>
          <w:tcPr>
            <w:tcW w:w="1636" w:type="dxa"/>
            <w:gridSpan w:val="2"/>
          </w:tcPr>
          <w:p w:rsidR="00FF1F60" w:rsidRPr="005A468E" w:rsidRDefault="005A468E" w:rsidP="005A468E">
            <w:pPr>
              <w:pStyle w:val="af1"/>
              <w:jc w:val="center"/>
              <w:rPr>
                <w:lang w:val="en-GB"/>
              </w:rPr>
            </w:pPr>
            <w:r>
              <w:rPr>
                <w:lang w:val="en-GB"/>
              </w:rPr>
              <w:t>RS(15, 13)</w:t>
            </w:r>
          </w:p>
        </w:tc>
        <w:tc>
          <w:tcPr>
            <w:tcW w:w="1615" w:type="dxa"/>
          </w:tcPr>
          <w:p w:rsidR="00FF1F60" w:rsidRPr="005A468E" w:rsidRDefault="005A468E" w:rsidP="005A468E">
            <w:pPr>
              <w:pStyle w:val="af1"/>
              <w:jc w:val="center"/>
              <w:rPr>
                <w:lang w:val="en-GB"/>
              </w:rPr>
            </w:pPr>
            <w:r>
              <w:rPr>
                <w:lang w:val="en-GB"/>
              </w:rPr>
              <w:t>7,6</w:t>
            </w:r>
          </w:p>
        </w:tc>
      </w:tr>
      <w:tr w:rsidR="00FF1F60" w:rsidTr="005A468E">
        <w:trPr>
          <w:jc w:val="center"/>
        </w:trPr>
        <w:tc>
          <w:tcPr>
            <w:tcW w:w="1625" w:type="dxa"/>
          </w:tcPr>
          <w:p w:rsidR="00FF1F60" w:rsidRDefault="005A468E" w:rsidP="005A468E">
            <w:pPr>
              <w:pStyle w:val="af1"/>
              <w:jc w:val="center"/>
              <w:rPr>
                <w:lang w:val="en-GB"/>
              </w:rPr>
            </w:pPr>
            <w:r>
              <w:rPr>
                <w:lang w:val="en-GB"/>
              </w:rPr>
              <w:t>16-HPSK</w:t>
            </w:r>
          </w:p>
        </w:tc>
        <w:tc>
          <w:tcPr>
            <w:tcW w:w="1636" w:type="dxa"/>
            <w:gridSpan w:val="2"/>
          </w:tcPr>
          <w:p w:rsidR="00FF1F60" w:rsidRDefault="005A468E" w:rsidP="005A468E">
            <w:pPr>
              <w:pStyle w:val="af1"/>
              <w:jc w:val="center"/>
            </w:pPr>
            <w:r>
              <w:rPr>
                <w:lang w:val="en-GB"/>
              </w:rPr>
              <w:t>RS(15, 11)</w:t>
            </w:r>
          </w:p>
        </w:tc>
        <w:tc>
          <w:tcPr>
            <w:tcW w:w="1615" w:type="dxa"/>
          </w:tcPr>
          <w:p w:rsidR="00FF1F60" w:rsidRPr="005A468E" w:rsidRDefault="005A468E" w:rsidP="005A468E">
            <w:pPr>
              <w:pStyle w:val="af1"/>
              <w:jc w:val="center"/>
              <w:rPr>
                <w:lang w:val="en-GB"/>
              </w:rPr>
            </w:pPr>
            <w:r>
              <w:rPr>
                <w:lang w:val="en-GB"/>
              </w:rPr>
              <w:t>6,3</w:t>
            </w:r>
          </w:p>
        </w:tc>
      </w:tr>
      <w:tr w:rsidR="005A468E" w:rsidTr="005A468E">
        <w:trPr>
          <w:jc w:val="center"/>
        </w:trPr>
        <w:tc>
          <w:tcPr>
            <w:tcW w:w="1625" w:type="dxa"/>
          </w:tcPr>
          <w:p w:rsidR="005A468E" w:rsidRDefault="005A468E" w:rsidP="005A468E">
            <w:pPr>
              <w:pStyle w:val="af1"/>
              <w:jc w:val="center"/>
              <w:rPr>
                <w:lang w:val="en-GB"/>
              </w:rPr>
            </w:pPr>
            <w:r>
              <w:rPr>
                <w:lang w:val="en-GB"/>
              </w:rPr>
              <w:t>16-HPSK</w:t>
            </w:r>
          </w:p>
        </w:tc>
        <w:tc>
          <w:tcPr>
            <w:tcW w:w="1636" w:type="dxa"/>
            <w:gridSpan w:val="2"/>
          </w:tcPr>
          <w:p w:rsidR="005A468E" w:rsidRDefault="005A468E" w:rsidP="005A468E">
            <w:pPr>
              <w:pStyle w:val="af1"/>
              <w:jc w:val="center"/>
            </w:pPr>
            <w:r>
              <w:rPr>
                <w:lang w:val="en-GB"/>
              </w:rPr>
              <w:t>RS(15, 9)</w:t>
            </w:r>
          </w:p>
        </w:tc>
        <w:tc>
          <w:tcPr>
            <w:tcW w:w="1615" w:type="dxa"/>
          </w:tcPr>
          <w:p w:rsidR="005A468E" w:rsidRPr="005A468E" w:rsidRDefault="005A468E" w:rsidP="005A468E">
            <w:pPr>
              <w:pStyle w:val="af1"/>
              <w:jc w:val="center"/>
              <w:rPr>
                <w:lang w:val="en-GB"/>
              </w:rPr>
            </w:pPr>
            <w:r>
              <w:rPr>
                <w:lang w:val="en-GB"/>
              </w:rPr>
              <w:t>5,2</w:t>
            </w:r>
          </w:p>
        </w:tc>
      </w:tr>
      <w:tr w:rsidR="005A468E" w:rsidTr="005A468E">
        <w:trPr>
          <w:jc w:val="center"/>
        </w:trPr>
        <w:tc>
          <w:tcPr>
            <w:tcW w:w="1625" w:type="dxa"/>
          </w:tcPr>
          <w:p w:rsidR="005A468E" w:rsidRDefault="005A468E" w:rsidP="005A468E">
            <w:pPr>
              <w:pStyle w:val="af1"/>
              <w:jc w:val="center"/>
              <w:rPr>
                <w:lang w:val="en-GB"/>
              </w:rPr>
            </w:pPr>
            <w:r>
              <w:rPr>
                <w:lang w:val="en-GB"/>
              </w:rPr>
              <w:t>16-HPSK</w:t>
            </w:r>
          </w:p>
        </w:tc>
        <w:tc>
          <w:tcPr>
            <w:tcW w:w="1636" w:type="dxa"/>
            <w:gridSpan w:val="2"/>
          </w:tcPr>
          <w:p w:rsidR="005A468E" w:rsidRDefault="005A468E" w:rsidP="005A468E">
            <w:pPr>
              <w:pStyle w:val="af1"/>
              <w:jc w:val="center"/>
            </w:pPr>
            <w:r>
              <w:rPr>
                <w:lang w:val="en-GB"/>
              </w:rPr>
              <w:t>RS(15, 7)</w:t>
            </w:r>
          </w:p>
        </w:tc>
        <w:tc>
          <w:tcPr>
            <w:tcW w:w="1615" w:type="dxa"/>
          </w:tcPr>
          <w:p w:rsidR="005A468E" w:rsidRPr="005A468E" w:rsidRDefault="005A468E" w:rsidP="005A468E">
            <w:pPr>
              <w:pStyle w:val="af1"/>
              <w:jc w:val="center"/>
              <w:rPr>
                <w:lang w:val="en-GB"/>
              </w:rPr>
            </w:pPr>
            <w:r>
              <w:rPr>
                <w:lang w:val="en-GB"/>
              </w:rPr>
              <w:t>4,4</w:t>
            </w:r>
          </w:p>
        </w:tc>
      </w:tr>
      <w:tr w:rsidR="005A468E" w:rsidTr="005A468E">
        <w:trPr>
          <w:jc w:val="center"/>
        </w:trPr>
        <w:tc>
          <w:tcPr>
            <w:tcW w:w="1625" w:type="dxa"/>
          </w:tcPr>
          <w:p w:rsidR="005A468E" w:rsidRDefault="005A468E" w:rsidP="005A468E">
            <w:pPr>
              <w:pStyle w:val="af1"/>
              <w:jc w:val="center"/>
              <w:rPr>
                <w:lang w:val="en-GB"/>
              </w:rPr>
            </w:pPr>
            <w:r>
              <w:rPr>
                <w:lang w:val="en-GB"/>
              </w:rPr>
              <w:t>16-HPSK</w:t>
            </w:r>
          </w:p>
        </w:tc>
        <w:tc>
          <w:tcPr>
            <w:tcW w:w="1636" w:type="dxa"/>
            <w:gridSpan w:val="2"/>
          </w:tcPr>
          <w:p w:rsidR="005A468E" w:rsidRDefault="005A468E" w:rsidP="005A468E">
            <w:pPr>
              <w:pStyle w:val="af1"/>
              <w:jc w:val="center"/>
            </w:pPr>
            <w:r>
              <w:rPr>
                <w:lang w:val="en-GB"/>
              </w:rPr>
              <w:t>RS(15, 5)</w:t>
            </w:r>
          </w:p>
        </w:tc>
        <w:tc>
          <w:tcPr>
            <w:tcW w:w="1615" w:type="dxa"/>
          </w:tcPr>
          <w:p w:rsidR="005A468E" w:rsidRPr="005A468E" w:rsidRDefault="005A468E" w:rsidP="005A468E">
            <w:pPr>
              <w:pStyle w:val="af1"/>
              <w:jc w:val="center"/>
              <w:rPr>
                <w:lang w:val="en-GB"/>
              </w:rPr>
            </w:pPr>
            <w:r>
              <w:rPr>
                <w:lang w:val="en-GB"/>
              </w:rPr>
              <w:t>3,7</w:t>
            </w:r>
          </w:p>
        </w:tc>
      </w:tr>
      <w:tr w:rsidR="005A468E" w:rsidTr="005A468E">
        <w:trPr>
          <w:jc w:val="center"/>
        </w:trPr>
        <w:tc>
          <w:tcPr>
            <w:tcW w:w="1625" w:type="dxa"/>
          </w:tcPr>
          <w:p w:rsidR="005A468E" w:rsidRDefault="005A468E" w:rsidP="005A468E">
            <w:pPr>
              <w:pStyle w:val="af1"/>
              <w:jc w:val="center"/>
              <w:rPr>
                <w:lang w:val="en-GB"/>
              </w:rPr>
            </w:pPr>
            <w:r>
              <w:rPr>
                <w:lang w:val="en-GB"/>
              </w:rPr>
              <w:t>16-HPSK</w:t>
            </w:r>
          </w:p>
        </w:tc>
        <w:tc>
          <w:tcPr>
            <w:tcW w:w="1636" w:type="dxa"/>
            <w:gridSpan w:val="2"/>
          </w:tcPr>
          <w:p w:rsidR="005A468E" w:rsidRDefault="005A468E" w:rsidP="005A468E">
            <w:pPr>
              <w:pStyle w:val="af1"/>
              <w:jc w:val="center"/>
            </w:pPr>
            <w:r>
              <w:rPr>
                <w:lang w:val="en-GB"/>
              </w:rPr>
              <w:t>RS(15, 3)</w:t>
            </w:r>
          </w:p>
        </w:tc>
        <w:tc>
          <w:tcPr>
            <w:tcW w:w="1615" w:type="dxa"/>
          </w:tcPr>
          <w:p w:rsidR="005A468E" w:rsidRPr="005A468E" w:rsidRDefault="005A468E" w:rsidP="005A468E">
            <w:pPr>
              <w:pStyle w:val="af1"/>
              <w:jc w:val="center"/>
              <w:rPr>
                <w:lang w:val="en-GB"/>
              </w:rPr>
            </w:pPr>
            <w:r>
              <w:rPr>
                <w:lang w:val="en-GB"/>
              </w:rPr>
              <w:t>3,1</w:t>
            </w:r>
          </w:p>
        </w:tc>
      </w:tr>
    </w:tbl>
    <w:p w:rsidR="005A468E" w:rsidRDefault="005A468E" w:rsidP="00052062">
      <w:pPr>
        <w:pStyle w:val="2"/>
        <w:rPr>
          <w:lang w:eastAsia="zh-CN"/>
        </w:rPr>
      </w:pPr>
      <w:r>
        <w:rPr>
          <w:lang w:eastAsia="zh-CN"/>
        </w:rPr>
        <w:t>Параметры имитационного моделирования</w:t>
      </w:r>
    </w:p>
    <w:p w:rsidR="005A468E" w:rsidRDefault="005A468E" w:rsidP="007404AC">
      <w:pPr>
        <w:pStyle w:val="a3"/>
        <w:rPr>
          <w:lang w:eastAsia="zh-CN"/>
        </w:rPr>
      </w:pPr>
      <w:r w:rsidRPr="005A468E">
        <w:rPr>
          <w:lang w:eastAsia="zh-CN"/>
        </w:rPr>
        <w:t xml:space="preserve">Сравнение методов модуляции и поиск </w:t>
      </w:r>
      <w:r w:rsidR="00764C27">
        <w:rPr>
          <w:lang w:eastAsia="zh-CN"/>
        </w:rPr>
        <w:t>эффективной</w:t>
      </w:r>
      <w:r w:rsidRPr="005A468E">
        <w:rPr>
          <w:lang w:eastAsia="zh-CN"/>
        </w:rPr>
        <w:t xml:space="preserve"> скорости кодирования произв</w:t>
      </w:r>
      <w:r w:rsidR="00E219D2">
        <w:rPr>
          <w:lang w:eastAsia="zh-CN"/>
        </w:rPr>
        <w:t>одились при следующих параметрах</w:t>
      </w:r>
      <w:r w:rsidRPr="005A468E">
        <w:rPr>
          <w:lang w:eastAsia="zh-CN"/>
        </w:rPr>
        <w:t xml:space="preserve"> модели: число передаваемых пакетов 2000; символьная скорость передачи 2000 </w:t>
      </w:r>
      <w:r w:rsidR="00764C27">
        <w:rPr>
          <w:lang w:eastAsia="zh-CN"/>
        </w:rPr>
        <w:t>символов</w:t>
      </w:r>
      <w:r w:rsidRPr="005A468E">
        <w:rPr>
          <w:lang w:eastAsia="zh-CN"/>
        </w:rPr>
        <w:t xml:space="preserve">/с; количество метеорных следов 2000; средний интервал между следами 5 мин.; средняя длительность следа 1 с; </w:t>
      </w:r>
      <w:r w:rsidR="00E219D2">
        <w:rPr>
          <w:lang w:eastAsia="zh-CN"/>
        </w:rPr>
        <w:t xml:space="preserve">среднее отношение </w:t>
      </w:r>
      <w:r w:rsidR="007404AC">
        <w:rPr>
          <w:lang w:eastAsia="zh-CN"/>
        </w:rPr>
        <w:t>С/</w:t>
      </w:r>
      <w:proofErr w:type="gramStart"/>
      <w:r w:rsidR="007404AC">
        <w:rPr>
          <w:lang w:eastAsia="zh-CN"/>
        </w:rPr>
        <w:t>Ш</w:t>
      </w:r>
      <w:proofErr w:type="gramEnd"/>
      <w:r w:rsidR="007404AC">
        <w:rPr>
          <w:lang w:eastAsia="zh-CN"/>
        </w:rPr>
        <w:t xml:space="preserve"> в момент появления следа 11 </w:t>
      </w:r>
      <w:r w:rsidR="00E219D2">
        <w:rPr>
          <w:lang w:eastAsia="zh-CN"/>
        </w:rPr>
        <w:t>дБ</w:t>
      </w:r>
      <w:r w:rsidRPr="005A468E">
        <w:rPr>
          <w:lang w:eastAsia="zh-CN"/>
        </w:rPr>
        <w:t>. Для каждой фиксированной длины пакета из исследуемого набора было проведено 10 000 экспериментов. Передача пакетов осуществлялась непрерывно</w:t>
      </w:r>
      <w:r>
        <w:rPr>
          <w:lang w:eastAsia="zh-CN"/>
        </w:rPr>
        <w:t>.</w:t>
      </w:r>
    </w:p>
    <w:p w:rsidR="005A468E" w:rsidRPr="00764C27" w:rsidRDefault="000461FB" w:rsidP="005A468E">
      <w:pPr>
        <w:pStyle w:val="1"/>
        <w:rPr>
          <w:lang w:eastAsia="zh-CN"/>
        </w:rPr>
      </w:pPr>
      <w:r>
        <w:rPr>
          <w:lang w:eastAsia="zh-CN"/>
        </w:rPr>
        <w:t>Результаты</w:t>
      </w:r>
    </w:p>
    <w:p w:rsidR="00550F20" w:rsidRDefault="000461FB" w:rsidP="007404AC">
      <w:pPr>
        <w:pStyle w:val="a3"/>
      </w:pPr>
      <w:r w:rsidRPr="000461FB">
        <w:t xml:space="preserve">В качестве критериев для </w:t>
      </w:r>
      <w:r w:rsidRPr="007404AC">
        <w:t>сравнения</w:t>
      </w:r>
      <w:r w:rsidRPr="000461FB">
        <w:t xml:space="preserve"> были выбраны доля успешно переданных пакетов и средняя эффективная скорость передачи,</w:t>
      </w:r>
      <w:r>
        <w:t xml:space="preserve"> которая вычислялась по формуле </w:t>
      </w:r>
      <w:r w:rsidRPr="000461FB">
        <w:rPr>
          <w:position w:val="-14"/>
        </w:rPr>
        <w:object w:dxaOrig="1300" w:dyaOrig="340">
          <v:shape id="_x0000_i1030" type="#_x0000_t75" style="width:65pt;height:17pt" o:ole="">
            <v:imagedata r:id="rId20" o:title=""/>
          </v:shape>
          <o:OLEObject Type="Embed" ProgID="Equation.DSMT4" ShapeID="_x0000_i1030" DrawAspect="Content" ObjectID="_1837855497" r:id="rId21"/>
        </w:object>
      </w:r>
      <w:r>
        <w:t xml:space="preserve">, </w:t>
      </w:r>
      <w:r w:rsidRPr="000461FB">
        <w:t xml:space="preserve">где </w:t>
      </w:r>
      <w:r w:rsidRPr="00764C27">
        <w:rPr>
          <w:i/>
          <w:lang w:val="en-US"/>
        </w:rPr>
        <w:t>i</w:t>
      </w:r>
      <w:r w:rsidRPr="000461FB">
        <w:t xml:space="preserve"> – индекс исследуемой длины пакета, </w:t>
      </w:r>
      <w:r w:rsidRPr="000461FB">
        <w:rPr>
          <w:position w:val="-14"/>
        </w:rPr>
        <w:object w:dxaOrig="440" w:dyaOrig="340">
          <v:shape id="_x0000_i1031" type="#_x0000_t75" style="width:22.5pt;height:17pt" o:ole="">
            <v:imagedata r:id="rId22" o:title=""/>
          </v:shape>
          <o:OLEObject Type="Embed" ProgID="Equation.DSMT4" ShapeID="_x0000_i1031" DrawAspect="Content" ObjectID="_1837855498" r:id="rId23"/>
        </w:object>
      </w:r>
      <w:r w:rsidRPr="000461FB">
        <w:t xml:space="preserve">– количество успешно переданных пакетов, </w:t>
      </w:r>
      <w:r w:rsidRPr="000461FB">
        <w:rPr>
          <w:position w:val="-10"/>
        </w:rPr>
        <w:object w:dxaOrig="220" w:dyaOrig="300">
          <v:shape id="_x0000_i1032" type="#_x0000_t75" style="width:11pt;height:15pt" o:ole="">
            <v:imagedata r:id="rId24" o:title=""/>
          </v:shape>
          <o:OLEObject Type="Embed" ProgID="Equation.DSMT4" ShapeID="_x0000_i1032" DrawAspect="Content" ObjectID="_1837855499" r:id="rId25"/>
        </w:object>
      </w:r>
      <w:r w:rsidRPr="000461FB">
        <w:t xml:space="preserve">– исследуемая длина пакета, </w:t>
      </w:r>
      <w:r w:rsidRPr="000461FB">
        <w:rPr>
          <w:position w:val="-14"/>
        </w:rPr>
        <w:object w:dxaOrig="279" w:dyaOrig="340">
          <v:shape id="_x0000_i1033" type="#_x0000_t75" style="width:13.5pt;height:17pt" o:ole="">
            <v:imagedata r:id="rId26" o:title=""/>
          </v:shape>
          <o:OLEObject Type="Embed" ProgID="Equation.DSMT4" ShapeID="_x0000_i1033" DrawAspect="Content" ObjectID="_1837855500" r:id="rId27"/>
        </w:object>
      </w:r>
      <w:r w:rsidRPr="000461FB">
        <w:t xml:space="preserve">– общее </w:t>
      </w:r>
      <w:r w:rsidRPr="000461FB">
        <w:lastRenderedPageBreak/>
        <w:t>время моделирования. Общее время моделирования включает как интервалы между метеорными следами, так и длительность самих следов.</w:t>
      </w:r>
      <w:r w:rsidR="001F4D78">
        <w:t xml:space="preserve"> </w:t>
      </w:r>
      <w:r w:rsidR="001F4D78" w:rsidRPr="001F4D78">
        <w:t>Полученная зависимость средней эффективной скорости передачи от длины п</w:t>
      </w:r>
      <w:r w:rsidR="001F4D78">
        <w:t>акета представлена на рис</w:t>
      </w:r>
      <w:r w:rsidR="007404AC">
        <w:t>. </w:t>
      </w:r>
      <w:r w:rsidR="001F4D78">
        <w:t>1</w:t>
      </w:r>
      <w:r w:rsidR="001F4D78" w:rsidRPr="001F4D78">
        <w:t>.</w:t>
      </w:r>
      <w:r w:rsidR="00550F20">
        <w:t xml:space="preserve"> Анализ показывает, что 16-HPSK превосходит QPSK по данному показателю примерно в 2 раза. Это объясняется большим размером сигнального созвездия (4 бита на символ против 2 бит у QPSK) при той же помехоустойчивости. </w:t>
      </w:r>
    </w:p>
    <w:p w:rsidR="00DA480C" w:rsidRPr="00C95DCB" w:rsidRDefault="00550F20" w:rsidP="007404AC">
      <w:pPr>
        <w:pStyle w:val="a3"/>
      </w:pPr>
      <w:r>
        <w:t>Модуляция 16-PSK, имеющая ту же скорость передачи (4 бита/символ), демонстрирует иной характер зависимости. При длинах пакетов до 2000 бит ее эффективность ниже, чем у QPSK, что обусловлено более высоким пороговым отношением С/</w:t>
      </w:r>
      <w:proofErr w:type="gramStart"/>
      <w:r>
        <w:t>Ш</w:t>
      </w:r>
      <w:proofErr w:type="gramEnd"/>
      <w:r>
        <w:t>, необходимым для начала передачи. С увеличением длины пакета 16-PSK начинает превосходить QPSK, однако достичь показателей 16-HPSK ей не удается.</w:t>
      </w:r>
    </w:p>
    <w:p w:rsidR="00961FDF" w:rsidRPr="00D0114C" w:rsidRDefault="00961FDF" w:rsidP="007404AC">
      <w:pPr>
        <w:pStyle w:val="a3"/>
      </w:pPr>
      <w:r w:rsidRPr="00D0114C">
        <w:t>Снижение порогового С/</w:t>
      </w:r>
      <w:proofErr w:type="gramStart"/>
      <w:r w:rsidRPr="00D0114C">
        <w:t>Ш</w:t>
      </w:r>
      <w:proofErr w:type="gramEnd"/>
      <w:r w:rsidRPr="00D0114C">
        <w:t xml:space="preserve"> благодаря помехоуст</w:t>
      </w:r>
      <w:r>
        <w:t>ойчивому кодированию (рис</w:t>
      </w:r>
      <w:r w:rsidR="007404AC">
        <w:t>.</w:t>
      </w:r>
      <w:r>
        <w:t xml:space="preserve"> </w:t>
      </w:r>
      <w:r w:rsidRPr="00D0114C">
        <w:t>2) позволяет повысить эффективность использования метеорных следов. Результаты сравнительного анализа эффективности передачи для различных длин блоков кода и размеров пакетов представ</w:t>
      </w:r>
      <w:r>
        <w:t>лены на рис</w:t>
      </w:r>
      <w:r w:rsidR="007404AC">
        <w:t>.</w:t>
      </w:r>
      <w:r>
        <w:t xml:space="preserve"> </w:t>
      </w:r>
      <w:r w:rsidRPr="00D0114C">
        <w:t>3</w:t>
      </w:r>
      <w:r>
        <w:t xml:space="preserve"> и </w:t>
      </w:r>
      <w:r w:rsidRPr="00D0114C">
        <w:t>4.</w:t>
      </w:r>
    </w:p>
    <w:p w:rsidR="00961FDF" w:rsidRPr="00961FDF" w:rsidRDefault="00961FDF" w:rsidP="00550F20">
      <w:pPr>
        <w:ind w:firstLine="215"/>
        <w:jc w:val="both"/>
      </w:pPr>
    </w:p>
    <w:p w:rsidR="001F4D78" w:rsidRDefault="00DC787B" w:rsidP="000461FB">
      <w:pPr>
        <w:ind w:firstLine="215"/>
        <w:jc w:val="both"/>
      </w:pPr>
      <w:r>
        <w:rPr>
          <w:noProof/>
          <w:lang w:eastAsia="ru-RU"/>
        </w:rPr>
        <w:drawing>
          <wp:inline distT="0" distB="0" distL="0" distR="0">
            <wp:extent cx="2874819" cy="215363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4604" cy="2153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4D78" w:rsidRDefault="001F4D78" w:rsidP="007404AC">
      <w:pPr>
        <w:pStyle w:val="a"/>
      </w:pPr>
      <w:r>
        <w:t>Средня</w:t>
      </w:r>
      <w:r w:rsidR="007404AC">
        <w:t>я эффективная скорость передачи</w:t>
      </w:r>
    </w:p>
    <w:p w:rsidR="001F4D78" w:rsidRDefault="00E77929" w:rsidP="007404AC">
      <w:pPr>
        <w:pStyle w:val="a"/>
        <w:numPr>
          <w:ilvl w:val="0"/>
          <w:numId w:val="0"/>
        </w:numPr>
        <w:tabs>
          <w:tab w:val="clear" w:pos="289"/>
          <w:tab w:val="left" w:pos="0"/>
        </w:tabs>
        <w:jc w:val="center"/>
      </w:pPr>
      <w:r>
        <w:rPr>
          <w:noProof/>
          <w:lang w:eastAsia="ru-RU"/>
        </w:rPr>
        <w:drawing>
          <wp:inline distT="0" distB="0" distL="0" distR="0">
            <wp:extent cx="2951018" cy="2212206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3970" cy="2214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4D78" w:rsidRDefault="00E77929" w:rsidP="007404AC">
      <w:pPr>
        <w:pStyle w:val="a"/>
      </w:pPr>
      <w:r>
        <w:t xml:space="preserve">Зависимость эффективной длительности </w:t>
      </w:r>
      <w:r w:rsidR="007404AC">
        <w:t>передачи от порогового значения</w:t>
      </w:r>
    </w:p>
    <w:p w:rsidR="000E1BC2" w:rsidRDefault="000E1BC2" w:rsidP="000E1BC2">
      <w:pPr>
        <w:pStyle w:val="a"/>
        <w:numPr>
          <w:ilvl w:val="0"/>
          <w:numId w:val="0"/>
        </w:num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 wp14:anchorId="22A56BB3" wp14:editId="3F2174F0">
            <wp:extent cx="3096260" cy="2319335"/>
            <wp:effectExtent l="0" t="0" r="0" b="508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6260" cy="231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114C" w:rsidRPr="00D0114C" w:rsidRDefault="00D0114C" w:rsidP="00D0114C">
      <w:pPr>
        <w:pStyle w:val="a"/>
      </w:pPr>
      <w:r w:rsidRPr="00D0114C">
        <w:t>Средняя эффективная скорость передачи пр</w:t>
      </w:r>
      <w:r w:rsidR="007404AC">
        <w:t>и разных параметрах кодирования</w:t>
      </w:r>
    </w:p>
    <w:p w:rsidR="00CC6254" w:rsidRDefault="00B73F80" w:rsidP="00CC6254">
      <w:pPr>
        <w:pStyle w:val="a"/>
        <w:numPr>
          <w:ilvl w:val="0"/>
          <w:numId w:val="0"/>
        </w:numPr>
        <w:ind w:left="360" w:hanging="360"/>
        <w:rPr>
          <w:lang w:val="en-GB"/>
        </w:rPr>
      </w:pPr>
      <w:r w:rsidRPr="00B73F80">
        <w:rPr>
          <w:noProof/>
          <w:lang w:eastAsia="ru-RU"/>
        </w:rPr>
        <w:drawing>
          <wp:inline distT="0" distB="0" distL="0" distR="0" wp14:anchorId="27A31A8E" wp14:editId="373E8770">
            <wp:extent cx="3092450" cy="28956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1"/>
                    <a:srcRect t="5092" b="1928"/>
                    <a:stretch/>
                  </pic:blipFill>
                  <pic:spPr bwMode="auto">
                    <a:xfrm>
                      <a:off x="0" y="0"/>
                      <a:ext cx="3096260" cy="28991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0114C" w:rsidRPr="000F68FC" w:rsidRDefault="00D0114C" w:rsidP="00D0114C">
      <w:pPr>
        <w:pStyle w:val="a"/>
        <w:rPr>
          <w:lang w:val="en-GB"/>
        </w:rPr>
      </w:pPr>
      <w:proofErr w:type="spellStart"/>
      <w:r w:rsidRPr="00D0114C">
        <w:rPr>
          <w:lang w:val="en-GB"/>
        </w:rPr>
        <w:t>Гистограмма</w:t>
      </w:r>
      <w:proofErr w:type="spellEnd"/>
      <w:r w:rsidRPr="00D0114C">
        <w:rPr>
          <w:lang w:val="en-GB"/>
        </w:rPr>
        <w:t xml:space="preserve"> </w:t>
      </w:r>
      <w:proofErr w:type="spellStart"/>
      <w:r w:rsidRPr="00D0114C">
        <w:rPr>
          <w:lang w:val="en-GB"/>
        </w:rPr>
        <w:t>успешных</w:t>
      </w:r>
      <w:proofErr w:type="spellEnd"/>
      <w:r w:rsidRPr="00D0114C">
        <w:rPr>
          <w:lang w:val="en-GB"/>
        </w:rPr>
        <w:t xml:space="preserve"> </w:t>
      </w:r>
      <w:proofErr w:type="spellStart"/>
      <w:r w:rsidRPr="00D0114C">
        <w:rPr>
          <w:lang w:val="en-GB"/>
        </w:rPr>
        <w:t>передач</w:t>
      </w:r>
      <w:proofErr w:type="spellEnd"/>
    </w:p>
    <w:p w:rsidR="000F68FC" w:rsidRPr="00C95DCB" w:rsidRDefault="000F68FC" w:rsidP="007404AC">
      <w:pPr>
        <w:pStyle w:val="a3"/>
      </w:pPr>
      <w:r w:rsidRPr="00D0114C">
        <w:t>Из зависимос</w:t>
      </w:r>
      <w:r>
        <w:t xml:space="preserve">ти, представленной на рисунке </w:t>
      </w:r>
      <w:r w:rsidRPr="00D0114C">
        <w:t xml:space="preserve">3, видно, что для различных длин пакета наибольшую эффективность обеспечивают разные скорости кодирования. Так, для коротких пакетов предпочтительными являются коды (15,9). </w:t>
      </w:r>
      <w:r w:rsidRPr="000F68FC">
        <w:t>С увеличением длины пакета избыточность кодирования начинает оказывать негативное влияние: возрастает время передачи, что ведет к росту числа пакетов, не завершивших передачу за время существования следа. При длине пакета более 6000 бит помехоустойчивое кодирование становится неэффективным, так как длительность передачи пакета приближается к средней длительности существования метеорного следа или превышает ее.</w:t>
      </w:r>
    </w:p>
    <w:p w:rsidR="00961FDF" w:rsidRPr="00D0114C" w:rsidRDefault="00961FDF" w:rsidP="007404AC">
      <w:pPr>
        <w:pStyle w:val="a3"/>
      </w:pPr>
      <w:r>
        <w:t>На основе анализа графика 3</w:t>
      </w:r>
      <w:r w:rsidRPr="00D0114C">
        <w:t xml:space="preserve"> была получена зависимость параметров кодирования, </w:t>
      </w:r>
      <w:r w:rsidR="00407A02">
        <w:t>эффективных</w:t>
      </w:r>
      <w:r w:rsidRPr="00D0114C">
        <w:t xml:space="preserve"> с точки зрения максимизации средней эффективной скорости передачи, от длины пакета. Данная завис</w:t>
      </w:r>
      <w:r>
        <w:t>имость представлена на рис</w:t>
      </w:r>
      <w:r w:rsidR="007404AC">
        <w:t>.</w:t>
      </w:r>
      <w:r>
        <w:t xml:space="preserve"> 5</w:t>
      </w:r>
      <w:r w:rsidRPr="00D0114C">
        <w:t xml:space="preserve">. </w:t>
      </w:r>
    </w:p>
    <w:p w:rsidR="00961FDF" w:rsidRPr="008971BC" w:rsidRDefault="00961FDF" w:rsidP="000F68FC">
      <w:pPr>
        <w:ind w:firstLine="215"/>
        <w:jc w:val="both"/>
      </w:pPr>
    </w:p>
    <w:p w:rsidR="000E1BC2" w:rsidRDefault="0069447B" w:rsidP="00CC6254">
      <w:pPr>
        <w:pStyle w:val="a"/>
        <w:numPr>
          <w:ilvl w:val="0"/>
          <w:numId w:val="0"/>
        </w:numPr>
        <w:ind w:left="360" w:hanging="360"/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3096260" cy="2319335"/>
            <wp:effectExtent l="0" t="0" r="0" b="508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6260" cy="231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114C" w:rsidRPr="00DA1A3E" w:rsidRDefault="00D0114C" w:rsidP="00DA1A3E">
      <w:pPr>
        <w:pStyle w:val="a"/>
        <w:rPr>
          <w:rFonts w:eastAsia="MS Mincho"/>
        </w:rPr>
      </w:pPr>
      <w:r w:rsidRPr="00DA1A3E">
        <w:rPr>
          <w:rFonts w:eastAsia="MS Mincho"/>
        </w:rPr>
        <w:t>Эффективная скорость кодиро</w:t>
      </w:r>
      <w:r w:rsidR="007404AC">
        <w:rPr>
          <w:rFonts w:eastAsia="MS Mincho"/>
        </w:rPr>
        <w:t xml:space="preserve">вания Рида-Соломона для </w:t>
      </w:r>
      <w:r w:rsidR="007404AC">
        <w:rPr>
          <w:rFonts w:eastAsia="MS Mincho"/>
        </w:rPr>
        <w:br/>
        <w:t>16-HPSK</w:t>
      </w:r>
    </w:p>
    <w:p w:rsidR="003915FB" w:rsidRDefault="003915FB" w:rsidP="003915FB">
      <w:pPr>
        <w:pStyle w:val="1"/>
        <w:tabs>
          <w:tab w:val="clear" w:pos="425"/>
          <w:tab w:val="left" w:pos="216"/>
          <w:tab w:val="num" w:pos="786"/>
        </w:tabs>
        <w:ind w:firstLine="0"/>
      </w:pPr>
      <w:r>
        <w:t>Заключение</w:t>
      </w:r>
    </w:p>
    <w:p w:rsidR="00B22F4E" w:rsidRDefault="00351954" w:rsidP="007404AC">
      <w:pPr>
        <w:pStyle w:val="a3"/>
      </w:pPr>
      <w:r w:rsidRPr="00351954">
        <w:t xml:space="preserve">В ходе проведенного исследования подтверждена эффективность </w:t>
      </w:r>
      <w:r w:rsidRPr="007404AC">
        <w:t>применения</w:t>
      </w:r>
      <w:r w:rsidRPr="00351954">
        <w:t xml:space="preserve"> модуляции 16-HPSK в условиях прерывистого метеорного канала связи. Показано, что данный вид модуляции обеспечивает более высокую помехоустойчивость по сравнению со схемами фазовой манипуляции с равным размером сигнального созвездия при той же спектральной эффективности. Средняя эффективная скорость передачи 16-HPSK в 3 раза превышает соответствующий показатель для 16-PSK.</w:t>
      </w:r>
    </w:p>
    <w:p w:rsidR="00B22F4E" w:rsidRPr="007404AC" w:rsidRDefault="0069447B" w:rsidP="007404AC">
      <w:pPr>
        <w:pStyle w:val="a3"/>
      </w:pPr>
      <w:r w:rsidRPr="0069447B">
        <w:t xml:space="preserve">Выигрыш в помехоустойчивости достигается за счет использования четырехмерного сигнального пространства, однако платой за это является повышенный пик-фактор сигнала: для 16-HPSK он составляет 6 дБ против 3 дБ для 16-PSK, что может ограничивать применение данной схемы в передатчиках с ограниченной пиковой мощностью. В связи с этим дальнейшие исследования могут быть направлены на поиск методов снижения пик-фактора сигналов HPSK. В частности, интерес представляет изучение возможности применения </w:t>
      </w:r>
      <w:r w:rsidRPr="007404AC">
        <w:t xml:space="preserve">амплитудного ограничителя [8], а также использование </w:t>
      </w:r>
      <w:proofErr w:type="spellStart"/>
      <w:r w:rsidRPr="007404AC">
        <w:t>Гоппа</w:t>
      </w:r>
      <w:proofErr w:type="spellEnd"/>
      <w:r w:rsidRPr="007404AC">
        <w:t xml:space="preserve"> кодов, позволяющих управлять </w:t>
      </w:r>
      <w:proofErr w:type="gramStart"/>
      <w:r w:rsidRPr="007404AC">
        <w:t>пик-фактором</w:t>
      </w:r>
      <w:proofErr w:type="gramEnd"/>
      <w:r w:rsidRPr="007404AC">
        <w:t xml:space="preserve"> на этапе формирования сигнальной конструкции [9].</w:t>
      </w:r>
    </w:p>
    <w:p w:rsidR="003915FB" w:rsidRDefault="00B22F4E" w:rsidP="007404AC">
      <w:pPr>
        <w:pStyle w:val="a3"/>
      </w:pPr>
      <w:r w:rsidRPr="007404AC">
        <w:t>Кроме того, в работе показано, что применение помехоустойчивого кодирования</w:t>
      </w:r>
      <w:r w:rsidRPr="00B22F4E">
        <w:t xml:space="preserve"> Рида–Соломона позволяет увеличить время доступности канала. Определены </w:t>
      </w:r>
      <w:r w:rsidR="00407A02">
        <w:t>эффективные</w:t>
      </w:r>
      <w:r w:rsidRPr="00B22F4E">
        <w:t xml:space="preserve"> параметры кодирования для различных длин пакетов, обеспечивающие максимальную эффективность передачи.</w:t>
      </w:r>
    </w:p>
    <w:p w:rsidR="003915FB" w:rsidRDefault="003915FB" w:rsidP="008C64AA">
      <w:pPr>
        <w:pStyle w:val="5"/>
      </w:pPr>
      <w:r>
        <w:t>Список литературы</w:t>
      </w:r>
    </w:p>
    <w:p w:rsidR="00DA1A3E" w:rsidRPr="00DA1A3E" w:rsidRDefault="00DA1A3E" w:rsidP="00DA1A3E">
      <w:pPr>
        <w:pStyle w:val="a0"/>
      </w:pPr>
      <w:r w:rsidRPr="00DA1A3E">
        <w:t xml:space="preserve">Титков С.Б. Технические предложения по использованию метеорной связи // Защита информации. Инсайд. 2006. №3 (9). </w:t>
      </w:r>
      <w:r w:rsidR="007404AC">
        <w:t>С. </w:t>
      </w:r>
      <w:r w:rsidRPr="00DA1A3E">
        <w:t>74-80.</w:t>
      </w:r>
    </w:p>
    <w:p w:rsidR="00DA1A3E" w:rsidRPr="00DA1A3E" w:rsidRDefault="00DA1A3E" w:rsidP="00DA1A3E">
      <w:pPr>
        <w:pStyle w:val="a0"/>
      </w:pPr>
      <w:proofErr w:type="spellStart"/>
      <w:r w:rsidRPr="00DA1A3E">
        <w:t>Катанович</w:t>
      </w:r>
      <w:proofErr w:type="spellEnd"/>
      <w:r w:rsidRPr="00DA1A3E">
        <w:t xml:space="preserve"> А.А., </w:t>
      </w:r>
      <w:proofErr w:type="spellStart"/>
      <w:r w:rsidRPr="00DA1A3E">
        <w:t>Сызранцев</w:t>
      </w:r>
      <w:proofErr w:type="spellEnd"/>
      <w:r w:rsidRPr="00DA1A3E">
        <w:t xml:space="preserve"> Г.В., Цыванюк В.А. Метеорная связь в арктической зоне российской федерации. Пути повышения её эффективности // Известия российской академии ракетных и артиллерийских наук. 2019. №3 (108). С. 44-51.</w:t>
      </w:r>
    </w:p>
    <w:p w:rsidR="00DA1A3E" w:rsidRPr="00DA1A3E" w:rsidRDefault="00DA1A3E" w:rsidP="00DA1A3E">
      <w:pPr>
        <w:pStyle w:val="a0"/>
      </w:pPr>
      <w:r w:rsidRPr="00DA1A3E">
        <w:t xml:space="preserve">Русин С.В., Долгих В.А., Пашкевич В.Д., Волвенко С.В., Минко В.А., Дасаев Р.А. Обеспечение устойчивости системы радиосвязи в условиях </w:t>
      </w:r>
      <w:proofErr w:type="spellStart"/>
      <w:r w:rsidRPr="00DA1A3E">
        <w:t>радиоподавления</w:t>
      </w:r>
      <w:proofErr w:type="spellEnd"/>
      <w:r w:rsidRPr="00DA1A3E">
        <w:t xml:space="preserve"> // Труды учебных заведений связи. 2025. Т. 11. № 4. С. 87‒96.</w:t>
      </w:r>
    </w:p>
    <w:p w:rsidR="00DA1A3E" w:rsidRPr="00DA1A3E" w:rsidRDefault="00DA1A3E" w:rsidP="00DA1A3E">
      <w:pPr>
        <w:pStyle w:val="a0"/>
      </w:pPr>
      <w:r w:rsidRPr="00DA1A3E">
        <w:lastRenderedPageBreak/>
        <w:t>Белов С.П., Орехов А.О. Повышение эффективности использования метеорного канала связи на основе предварительной оценки его характеристик // Экономика. Инфо</w:t>
      </w:r>
      <w:r w:rsidR="007404AC">
        <w:t xml:space="preserve">рматика. </w:t>
      </w:r>
      <w:r w:rsidRPr="00DA1A3E">
        <w:t>2025. №1. С. 203-214.</w:t>
      </w:r>
    </w:p>
    <w:p w:rsidR="00DA1A3E" w:rsidRPr="00DA1A3E" w:rsidRDefault="00DA1A3E" w:rsidP="00DA1A3E">
      <w:pPr>
        <w:pStyle w:val="a0"/>
      </w:pPr>
      <w:r w:rsidRPr="00DA1A3E">
        <w:t>Сердюков В.С., Белов С.П., Орехов А.О. Перспективные методы повышения скорости передачи информации в каналах метеорной связи // Экономика. Информатика. 2024. №1. С. 241-249.</w:t>
      </w:r>
    </w:p>
    <w:p w:rsidR="00DA1A3E" w:rsidRPr="00DA1A3E" w:rsidRDefault="00DA1A3E" w:rsidP="00DA1A3E">
      <w:pPr>
        <w:pStyle w:val="a0"/>
        <w:rPr>
          <w:lang w:val="en-US"/>
        </w:rPr>
      </w:pPr>
      <w:r w:rsidRPr="00DA1A3E">
        <w:rPr>
          <w:lang w:val="en-US"/>
        </w:rPr>
        <w:t xml:space="preserve">William E. Ryan Optimal signaling for meteor burst channels // IEEE Transactions on Communications (Volume: 45, Issue: 5, May 1997). 1997. </w:t>
      </w:r>
      <w:r w:rsidRPr="00DA1A3E">
        <w:t>С</w:t>
      </w:r>
      <w:r w:rsidRPr="00DA1A3E">
        <w:rPr>
          <w:lang w:val="en-US"/>
        </w:rPr>
        <w:t>. 489-496.</w:t>
      </w:r>
    </w:p>
    <w:p w:rsidR="008C64AA" w:rsidRDefault="00DA1A3E" w:rsidP="00DA1A3E">
      <w:pPr>
        <w:pStyle w:val="a0"/>
        <w:rPr>
          <w:lang w:val="en-US"/>
        </w:rPr>
      </w:pPr>
      <w:r w:rsidRPr="00DA1A3E">
        <w:rPr>
          <w:lang w:val="en-US"/>
        </w:rPr>
        <w:lastRenderedPageBreak/>
        <w:t>Caldwell J., Robertson C. M-</w:t>
      </w:r>
      <w:proofErr w:type="spellStart"/>
      <w:r w:rsidRPr="00DA1A3E">
        <w:rPr>
          <w:lang w:val="en-US"/>
        </w:rPr>
        <w:t>ary</w:t>
      </w:r>
      <w:proofErr w:type="spellEnd"/>
      <w:r w:rsidRPr="00DA1A3E">
        <w:rPr>
          <w:lang w:val="en-US"/>
        </w:rPr>
        <w:t xml:space="preserve"> hyper phase-shift keying over non-linear satellite channels // IEEE Pacific Rim Conference on Communications, Computers and Signal Processing. 2009. С. 23-28.</w:t>
      </w:r>
    </w:p>
    <w:p w:rsidR="00DA1A3E" w:rsidRPr="00DA1A3E" w:rsidRDefault="00DA1A3E" w:rsidP="00DA1A3E">
      <w:pPr>
        <w:pStyle w:val="a0"/>
        <w:rPr>
          <w:lang w:val="en-US"/>
        </w:rPr>
      </w:pPr>
      <w:proofErr w:type="spellStart"/>
      <w:r w:rsidRPr="00DA1A3E">
        <w:t>Нгуен</w:t>
      </w:r>
      <w:proofErr w:type="spellEnd"/>
      <w:r w:rsidRPr="00DA1A3E">
        <w:t xml:space="preserve"> Д.К., Завьялов С.В., Волвенко С.В. Эффективность передачи многочастотных сигналов в метеорном канале при условии амплитудного ограничения на передающем модуле // Информатика, телекоммуникации и управление. </w:t>
      </w:r>
      <w:r w:rsidRPr="00DA1A3E">
        <w:rPr>
          <w:lang w:val="en-US"/>
        </w:rPr>
        <w:t xml:space="preserve">2020. Т. 13. № 1. </w:t>
      </w:r>
      <w:proofErr w:type="gramStart"/>
      <w:r w:rsidRPr="00DA1A3E">
        <w:rPr>
          <w:lang w:val="en-US"/>
        </w:rPr>
        <w:t>С. 42</w:t>
      </w:r>
      <w:proofErr w:type="gramEnd"/>
      <w:r w:rsidRPr="00DA1A3E">
        <w:rPr>
          <w:lang w:val="en-US"/>
        </w:rPr>
        <w:t>-52</w:t>
      </w:r>
      <w:r>
        <w:rPr>
          <w:lang w:val="en-US"/>
        </w:rPr>
        <w:t>.</w:t>
      </w:r>
    </w:p>
    <w:p w:rsidR="00DA1A3E" w:rsidRPr="00147F5D" w:rsidRDefault="00DA1A3E" w:rsidP="00DA1A3E">
      <w:pPr>
        <w:pStyle w:val="a0"/>
        <w:rPr>
          <w:lang w:val="en-US"/>
        </w:rPr>
      </w:pPr>
      <w:proofErr w:type="spellStart"/>
      <w:r w:rsidRPr="007013CE">
        <w:rPr>
          <w:lang w:val="en-US"/>
        </w:rPr>
        <w:t>Sharmila</w:t>
      </w:r>
      <w:proofErr w:type="spellEnd"/>
      <w:r w:rsidRPr="007013CE">
        <w:rPr>
          <w:lang w:val="en-US"/>
        </w:rPr>
        <w:t xml:space="preserve"> </w:t>
      </w:r>
      <w:proofErr w:type="spellStart"/>
      <w:r w:rsidRPr="007013CE">
        <w:rPr>
          <w:lang w:val="en-US"/>
        </w:rPr>
        <w:t>Sengupta</w:t>
      </w:r>
      <w:proofErr w:type="spellEnd"/>
      <w:r w:rsidR="007404AC">
        <w:t>,</w:t>
      </w:r>
      <w:r w:rsidRPr="007013CE">
        <w:rPr>
          <w:lang w:val="en-US"/>
        </w:rPr>
        <w:t xml:space="preserve"> </w:t>
      </w:r>
      <w:proofErr w:type="spellStart"/>
      <w:r w:rsidR="007404AC" w:rsidRPr="007013CE">
        <w:rPr>
          <w:lang w:val="en-US"/>
        </w:rPr>
        <w:t>Lande</w:t>
      </w:r>
      <w:proofErr w:type="spellEnd"/>
      <w:r w:rsidR="007404AC" w:rsidRPr="007013CE">
        <w:rPr>
          <w:lang w:val="en-US"/>
        </w:rPr>
        <w:t xml:space="preserve"> </w:t>
      </w:r>
      <w:r w:rsidRPr="007013CE">
        <w:rPr>
          <w:lang w:val="en-US"/>
        </w:rPr>
        <w:t xml:space="preserve">B.K. PAPR reduction in OFDM using </w:t>
      </w:r>
      <w:proofErr w:type="spellStart"/>
      <w:r w:rsidRPr="007013CE">
        <w:rPr>
          <w:lang w:val="en-US"/>
        </w:rPr>
        <w:t>Goppa</w:t>
      </w:r>
      <w:proofErr w:type="spellEnd"/>
      <w:r w:rsidRPr="007013CE">
        <w:rPr>
          <w:lang w:val="en-US"/>
        </w:rPr>
        <w:t xml:space="preserve"> codes // IEEE International WIE Conference on Electrical and Computer Engineering (WIECON-ECE). 2016. С. 104-107.</w:t>
      </w:r>
    </w:p>
    <w:p w:rsidR="00DA1A3E" w:rsidRPr="00DA1A3E" w:rsidRDefault="00DA1A3E" w:rsidP="00DA1A3E">
      <w:pPr>
        <w:pStyle w:val="a0"/>
        <w:numPr>
          <w:ilvl w:val="0"/>
          <w:numId w:val="0"/>
        </w:numPr>
        <w:ind w:left="289"/>
        <w:rPr>
          <w:lang w:val="en-US"/>
        </w:rPr>
      </w:pPr>
    </w:p>
    <w:p w:rsidR="008C64AA" w:rsidRPr="00DA1A3E" w:rsidRDefault="008C64AA" w:rsidP="009A093D">
      <w:pPr>
        <w:rPr>
          <w:lang w:val="en-US" w:eastAsia="ru-RU"/>
        </w:rPr>
        <w:sectPr w:rsidR="008C64AA" w:rsidRPr="00DA1A3E" w:rsidSect="004B14C2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:rsidR="008C64AA" w:rsidRPr="00E219D2" w:rsidRDefault="008C64AA" w:rsidP="009A093D">
      <w:pPr>
        <w:pStyle w:val="a"/>
        <w:numPr>
          <w:ilvl w:val="0"/>
          <w:numId w:val="0"/>
        </w:numPr>
        <w:rPr>
          <w:rFonts w:eastAsia="MS Mincho"/>
          <w:lang w:val="en-US"/>
        </w:rPr>
      </w:pPr>
    </w:p>
    <w:sectPr w:rsidR="008C64AA" w:rsidRPr="00E219D2" w:rsidSect="008C64AA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184F" w:rsidRDefault="00F3184F" w:rsidP="00651B8E">
      <w:r>
        <w:separator/>
      </w:r>
    </w:p>
  </w:endnote>
  <w:endnote w:type="continuationSeparator" w:id="0">
    <w:p w:rsidR="00F3184F" w:rsidRDefault="00F3184F" w:rsidP="00651B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00355647"/>
      <w:docPartObj>
        <w:docPartGallery w:val="Page Numbers (Bottom of Page)"/>
        <w:docPartUnique/>
      </w:docPartObj>
    </w:sdtPr>
    <w:sdtContent>
      <w:p w:rsidR="00651B8E" w:rsidRDefault="00651B8E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159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184F" w:rsidRDefault="00F3184F" w:rsidP="00651B8E">
      <w:r>
        <w:separator/>
      </w:r>
    </w:p>
  </w:footnote>
  <w:footnote w:type="continuationSeparator" w:id="0">
    <w:p w:rsidR="00F3184F" w:rsidRDefault="00F3184F" w:rsidP="00651B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1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5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8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1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2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9BB3D84"/>
    <w:multiLevelType w:val="multilevel"/>
    <w:tmpl w:val="828A6C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</w:num>
  <w:num w:numId="2">
    <w:abstractNumId w:val="14"/>
  </w:num>
  <w:num w:numId="3">
    <w:abstractNumId w:val="14"/>
  </w:num>
  <w:num w:numId="4">
    <w:abstractNumId w:val="14"/>
  </w:num>
  <w:num w:numId="5">
    <w:abstractNumId w:val="14"/>
  </w:num>
  <w:num w:numId="6">
    <w:abstractNumId w:val="20"/>
  </w:num>
  <w:num w:numId="7">
    <w:abstractNumId w:val="18"/>
  </w:num>
  <w:num w:numId="8">
    <w:abstractNumId w:val="17"/>
  </w:num>
  <w:num w:numId="9">
    <w:abstractNumId w:val="11"/>
  </w:num>
  <w:num w:numId="10">
    <w:abstractNumId w:val="14"/>
  </w:num>
  <w:num w:numId="11">
    <w:abstractNumId w:val="14"/>
  </w:num>
  <w:num w:numId="12">
    <w:abstractNumId w:val="14"/>
  </w:num>
  <w:num w:numId="13">
    <w:abstractNumId w:val="14"/>
  </w:num>
  <w:num w:numId="14">
    <w:abstractNumId w:val="20"/>
  </w:num>
  <w:num w:numId="15">
    <w:abstractNumId w:val="18"/>
  </w:num>
  <w:num w:numId="16">
    <w:abstractNumId w:val="17"/>
  </w:num>
  <w:num w:numId="17">
    <w:abstractNumId w:val="11"/>
  </w:num>
  <w:num w:numId="18">
    <w:abstractNumId w:val="10"/>
  </w:num>
  <w:num w:numId="19">
    <w:abstractNumId w:val="12"/>
  </w:num>
  <w:num w:numId="20">
    <w:abstractNumId w:val="21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6"/>
  </w:num>
  <w:num w:numId="32">
    <w:abstractNumId w:val="19"/>
  </w:num>
  <w:num w:numId="33">
    <w:abstractNumId w:val="15"/>
  </w:num>
  <w:num w:numId="34">
    <w:abstractNumId w:val="22"/>
  </w:num>
  <w:num w:numId="3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52D"/>
    <w:rsid w:val="000461FB"/>
    <w:rsid w:val="00052062"/>
    <w:rsid w:val="000A631C"/>
    <w:rsid w:val="000B522D"/>
    <w:rsid w:val="000C4359"/>
    <w:rsid w:val="000E1BC2"/>
    <w:rsid w:val="000F68FC"/>
    <w:rsid w:val="0013123C"/>
    <w:rsid w:val="001F4D78"/>
    <w:rsid w:val="00252F87"/>
    <w:rsid w:val="002D540B"/>
    <w:rsid w:val="003378F6"/>
    <w:rsid w:val="00351954"/>
    <w:rsid w:val="003575F1"/>
    <w:rsid w:val="00373376"/>
    <w:rsid w:val="003915FB"/>
    <w:rsid w:val="003D785D"/>
    <w:rsid w:val="00407A02"/>
    <w:rsid w:val="004165FC"/>
    <w:rsid w:val="00420452"/>
    <w:rsid w:val="0047652D"/>
    <w:rsid w:val="004B14C2"/>
    <w:rsid w:val="004C40DB"/>
    <w:rsid w:val="004C4FAF"/>
    <w:rsid w:val="004D7E92"/>
    <w:rsid w:val="00502710"/>
    <w:rsid w:val="00535924"/>
    <w:rsid w:val="00550F20"/>
    <w:rsid w:val="005630E7"/>
    <w:rsid w:val="005667B5"/>
    <w:rsid w:val="005963D0"/>
    <w:rsid w:val="005A468E"/>
    <w:rsid w:val="00651B8E"/>
    <w:rsid w:val="0069447B"/>
    <w:rsid w:val="006D605D"/>
    <w:rsid w:val="0070609F"/>
    <w:rsid w:val="00711520"/>
    <w:rsid w:val="0071573A"/>
    <w:rsid w:val="007316B2"/>
    <w:rsid w:val="007404AC"/>
    <w:rsid w:val="00760C79"/>
    <w:rsid w:val="00764C27"/>
    <w:rsid w:val="00791CA2"/>
    <w:rsid w:val="007B6A69"/>
    <w:rsid w:val="007E3F94"/>
    <w:rsid w:val="0087270B"/>
    <w:rsid w:val="008834FE"/>
    <w:rsid w:val="008971BC"/>
    <w:rsid w:val="008C64AA"/>
    <w:rsid w:val="008D0348"/>
    <w:rsid w:val="009258A9"/>
    <w:rsid w:val="00940220"/>
    <w:rsid w:val="00961FDF"/>
    <w:rsid w:val="009A093D"/>
    <w:rsid w:val="009F446D"/>
    <w:rsid w:val="00A25034"/>
    <w:rsid w:val="00AC08AA"/>
    <w:rsid w:val="00AE6C42"/>
    <w:rsid w:val="00AF069A"/>
    <w:rsid w:val="00B22F4E"/>
    <w:rsid w:val="00B33D46"/>
    <w:rsid w:val="00B71F57"/>
    <w:rsid w:val="00B73F80"/>
    <w:rsid w:val="00B77B07"/>
    <w:rsid w:val="00BD2BC3"/>
    <w:rsid w:val="00C903D0"/>
    <w:rsid w:val="00C9188D"/>
    <w:rsid w:val="00C95DCB"/>
    <w:rsid w:val="00CC6254"/>
    <w:rsid w:val="00CC6D5A"/>
    <w:rsid w:val="00D0114C"/>
    <w:rsid w:val="00D80951"/>
    <w:rsid w:val="00DA1A3E"/>
    <w:rsid w:val="00DA480C"/>
    <w:rsid w:val="00DC787B"/>
    <w:rsid w:val="00E01121"/>
    <w:rsid w:val="00E06A82"/>
    <w:rsid w:val="00E152C5"/>
    <w:rsid w:val="00E219D2"/>
    <w:rsid w:val="00E77929"/>
    <w:rsid w:val="00EC44A2"/>
    <w:rsid w:val="00F05068"/>
    <w:rsid w:val="00F074EC"/>
    <w:rsid w:val="00F20F9D"/>
    <w:rsid w:val="00F25F32"/>
    <w:rsid w:val="00F3184F"/>
    <w:rsid w:val="00FF1F60"/>
    <w:rsid w:val="00FF6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0A631C"/>
    <w:pPr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paragraph" w:styleId="af2">
    <w:name w:val="Balloon Text"/>
    <w:basedOn w:val="a2"/>
    <w:link w:val="af3"/>
    <w:uiPriority w:val="99"/>
    <w:semiHidden/>
    <w:unhideWhenUsed/>
    <w:rsid w:val="007E3F94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4"/>
    <w:link w:val="af2"/>
    <w:uiPriority w:val="99"/>
    <w:semiHidden/>
    <w:rsid w:val="007E3F94"/>
    <w:rPr>
      <w:rFonts w:ascii="Tahoma" w:hAnsi="Tahoma" w:cs="Tahoma"/>
      <w:sz w:val="16"/>
      <w:szCs w:val="16"/>
      <w:lang w:eastAsia="en-US"/>
    </w:rPr>
  </w:style>
  <w:style w:type="paragraph" w:customStyle="1" w:styleId="MTDisplayEquation">
    <w:name w:val="MTDisplayEquation"/>
    <w:basedOn w:val="a3"/>
    <w:next w:val="a2"/>
    <w:link w:val="MTDisplayEquation0"/>
    <w:rsid w:val="003575F1"/>
    <w:pPr>
      <w:tabs>
        <w:tab w:val="clear" w:pos="288"/>
        <w:tab w:val="center" w:pos="2440"/>
        <w:tab w:val="right" w:pos="4880"/>
      </w:tabs>
    </w:pPr>
    <w:rPr>
      <w:lang w:val="en-GB"/>
    </w:rPr>
  </w:style>
  <w:style w:type="character" w:customStyle="1" w:styleId="MTDisplayEquation0">
    <w:name w:val="MTDisplayEquation Знак"/>
    <w:basedOn w:val="a9"/>
    <w:link w:val="MTDisplayEquation"/>
    <w:rsid w:val="003575F1"/>
    <w:rPr>
      <w:rFonts w:ascii="Times New Roman" w:eastAsia="MS Mincho" w:hAnsi="Times New Roman" w:cs="Times New Roman"/>
      <w:spacing w:val="-1"/>
      <w:sz w:val="20"/>
      <w:szCs w:val="20"/>
      <w:lang w:val="en-GB" w:eastAsia="en-US"/>
    </w:rPr>
  </w:style>
  <w:style w:type="paragraph" w:styleId="af4">
    <w:name w:val="header"/>
    <w:basedOn w:val="a2"/>
    <w:link w:val="af5"/>
    <w:unhideWhenUsed/>
    <w:rsid w:val="00651B8E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4"/>
    <w:link w:val="af4"/>
    <w:rsid w:val="00651B8E"/>
    <w:rPr>
      <w:rFonts w:ascii="Times New Roman" w:hAnsi="Times New Roman" w:cs="Times New Roman"/>
      <w:sz w:val="20"/>
      <w:szCs w:val="20"/>
      <w:lang w:eastAsia="en-US"/>
    </w:rPr>
  </w:style>
  <w:style w:type="paragraph" w:styleId="af6">
    <w:name w:val="footer"/>
    <w:basedOn w:val="a2"/>
    <w:link w:val="af7"/>
    <w:uiPriority w:val="99"/>
    <w:unhideWhenUsed/>
    <w:rsid w:val="00651B8E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4"/>
    <w:link w:val="af6"/>
    <w:uiPriority w:val="99"/>
    <w:rsid w:val="00651B8E"/>
    <w:rPr>
      <w:rFonts w:ascii="Times New Roman" w:hAnsi="Times New Roman"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0A631C"/>
    <w:pPr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paragraph" w:styleId="af2">
    <w:name w:val="Balloon Text"/>
    <w:basedOn w:val="a2"/>
    <w:link w:val="af3"/>
    <w:uiPriority w:val="99"/>
    <w:semiHidden/>
    <w:unhideWhenUsed/>
    <w:rsid w:val="007E3F94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4"/>
    <w:link w:val="af2"/>
    <w:uiPriority w:val="99"/>
    <w:semiHidden/>
    <w:rsid w:val="007E3F94"/>
    <w:rPr>
      <w:rFonts w:ascii="Tahoma" w:hAnsi="Tahoma" w:cs="Tahoma"/>
      <w:sz w:val="16"/>
      <w:szCs w:val="16"/>
      <w:lang w:eastAsia="en-US"/>
    </w:rPr>
  </w:style>
  <w:style w:type="paragraph" w:customStyle="1" w:styleId="MTDisplayEquation">
    <w:name w:val="MTDisplayEquation"/>
    <w:basedOn w:val="a3"/>
    <w:next w:val="a2"/>
    <w:link w:val="MTDisplayEquation0"/>
    <w:rsid w:val="003575F1"/>
    <w:pPr>
      <w:tabs>
        <w:tab w:val="clear" w:pos="288"/>
        <w:tab w:val="center" w:pos="2440"/>
        <w:tab w:val="right" w:pos="4880"/>
      </w:tabs>
    </w:pPr>
    <w:rPr>
      <w:lang w:val="en-GB"/>
    </w:rPr>
  </w:style>
  <w:style w:type="character" w:customStyle="1" w:styleId="MTDisplayEquation0">
    <w:name w:val="MTDisplayEquation Знак"/>
    <w:basedOn w:val="a9"/>
    <w:link w:val="MTDisplayEquation"/>
    <w:rsid w:val="003575F1"/>
    <w:rPr>
      <w:rFonts w:ascii="Times New Roman" w:eastAsia="MS Mincho" w:hAnsi="Times New Roman" w:cs="Times New Roman"/>
      <w:spacing w:val="-1"/>
      <w:sz w:val="20"/>
      <w:szCs w:val="20"/>
      <w:lang w:val="en-GB" w:eastAsia="en-US"/>
    </w:rPr>
  </w:style>
  <w:style w:type="paragraph" w:styleId="af4">
    <w:name w:val="header"/>
    <w:basedOn w:val="a2"/>
    <w:link w:val="af5"/>
    <w:unhideWhenUsed/>
    <w:rsid w:val="00651B8E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4"/>
    <w:link w:val="af4"/>
    <w:rsid w:val="00651B8E"/>
    <w:rPr>
      <w:rFonts w:ascii="Times New Roman" w:hAnsi="Times New Roman" w:cs="Times New Roman"/>
      <w:sz w:val="20"/>
      <w:szCs w:val="20"/>
      <w:lang w:eastAsia="en-US"/>
    </w:rPr>
  </w:style>
  <w:style w:type="paragraph" w:styleId="af6">
    <w:name w:val="footer"/>
    <w:basedOn w:val="a2"/>
    <w:link w:val="af7"/>
    <w:uiPriority w:val="99"/>
    <w:unhideWhenUsed/>
    <w:rsid w:val="00651B8E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4"/>
    <w:link w:val="af6"/>
    <w:uiPriority w:val="99"/>
    <w:rsid w:val="00651B8E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oleObject" Target="embeddings/oleObject2.bin"/><Relationship Id="rId18" Type="http://schemas.openxmlformats.org/officeDocument/2006/relationships/image" Target="media/image5.wmf"/><Relationship Id="rId26" Type="http://schemas.openxmlformats.org/officeDocument/2006/relationships/image" Target="media/image9.wmf"/><Relationship Id="rId3" Type="http://schemas.openxmlformats.org/officeDocument/2006/relationships/styles" Target="styles.xml"/><Relationship Id="rId21" Type="http://schemas.openxmlformats.org/officeDocument/2006/relationships/oleObject" Target="embeddings/oleObject6.bin"/><Relationship Id="rId34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2.wmf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8.bin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4.wmf"/><Relationship Id="rId20" Type="http://schemas.openxmlformats.org/officeDocument/2006/relationships/image" Target="media/image6.wmf"/><Relationship Id="rId29" Type="http://schemas.openxmlformats.org/officeDocument/2006/relationships/image" Target="media/image11.e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1.bin"/><Relationship Id="rId24" Type="http://schemas.openxmlformats.org/officeDocument/2006/relationships/image" Target="media/image8.wmf"/><Relationship Id="rId32" Type="http://schemas.openxmlformats.org/officeDocument/2006/relationships/image" Target="media/image14.emf"/><Relationship Id="rId5" Type="http://schemas.openxmlformats.org/officeDocument/2006/relationships/settings" Target="setting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7.bin"/><Relationship Id="rId28" Type="http://schemas.openxmlformats.org/officeDocument/2006/relationships/image" Target="media/image10.emf"/><Relationship Id="rId10" Type="http://schemas.openxmlformats.org/officeDocument/2006/relationships/image" Target="media/image1.wmf"/><Relationship Id="rId19" Type="http://schemas.openxmlformats.org/officeDocument/2006/relationships/oleObject" Target="embeddings/oleObject5.bin"/><Relationship Id="rId31" Type="http://schemas.openxmlformats.org/officeDocument/2006/relationships/image" Target="media/image13.png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image" Target="media/image3.wmf"/><Relationship Id="rId22" Type="http://schemas.openxmlformats.org/officeDocument/2006/relationships/image" Target="media/image7.wmf"/><Relationship Id="rId27" Type="http://schemas.openxmlformats.org/officeDocument/2006/relationships/oleObject" Target="embeddings/oleObject9.bin"/><Relationship Id="rId30" Type="http://schemas.openxmlformats.org/officeDocument/2006/relationships/image" Target="media/image1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C908E7-CF76-4672-8DA8-6865E85790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1728</Words>
  <Characters>9856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dcterms:created xsi:type="dcterms:W3CDTF">2026-04-16T10:34:00Z</dcterms:created>
  <dcterms:modified xsi:type="dcterms:W3CDTF">2026-04-16T10:34:00Z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