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A58272" w14:textId="77777777" w:rsidR="005011EF" w:rsidRDefault="00472997" w:rsidP="00B65FDD">
      <w:pPr>
        <w:pStyle w:val="a9"/>
        <w:rPr>
          <w:sz w:val="22"/>
          <w:szCs w:val="22"/>
          <w:lang w:val="vi-VN"/>
        </w:rPr>
      </w:pPr>
      <w:r>
        <w:t>Проблема конвергенции федеративного машинного обучения, туманных вычислений и автономных сетей в архитектуре сетей 6G</w:t>
      </w:r>
    </w:p>
    <w:p w14:paraId="7A2E097F" w14:textId="30EC7963" w:rsidR="00B65FDD" w:rsidRDefault="00472997" w:rsidP="00B65FDD">
      <w:pPr>
        <w:pStyle w:val="ab"/>
        <w:rPr>
          <w:sz w:val="18"/>
          <w:szCs w:val="18"/>
        </w:rPr>
      </w:pPr>
      <w:r>
        <w:rPr>
          <w:szCs w:val="24"/>
        </w:rPr>
        <w:t xml:space="preserve">Ван </w:t>
      </w:r>
      <w:proofErr w:type="spellStart"/>
      <w:r>
        <w:rPr>
          <w:szCs w:val="24"/>
        </w:rPr>
        <w:t>Тханг</w:t>
      </w:r>
      <w:proofErr w:type="spellEnd"/>
      <w:r w:rsidR="00B65FDD" w:rsidRPr="00B65FDD">
        <w:rPr>
          <w:szCs w:val="24"/>
        </w:rPr>
        <w:t xml:space="preserve"> </w:t>
      </w:r>
      <w:proofErr w:type="spellStart"/>
      <w:r w:rsidR="00B65FDD">
        <w:rPr>
          <w:szCs w:val="24"/>
        </w:rPr>
        <w:t>Данг</w:t>
      </w:r>
      <w:proofErr w:type="spellEnd"/>
      <w:r>
        <w:rPr>
          <w:szCs w:val="24"/>
        </w:rPr>
        <w:t>, Артем</w:t>
      </w:r>
      <w:r w:rsidR="00B65FDD" w:rsidRPr="00B65FDD">
        <w:rPr>
          <w:szCs w:val="24"/>
        </w:rPr>
        <w:t xml:space="preserve"> </w:t>
      </w:r>
      <w:r w:rsidR="00B65FDD">
        <w:rPr>
          <w:szCs w:val="24"/>
        </w:rPr>
        <w:t>Волков</w:t>
      </w:r>
      <w:r>
        <w:rPr>
          <w:sz w:val="18"/>
          <w:szCs w:val="18"/>
          <w:lang w:val="vi-VN"/>
        </w:rPr>
        <w:t xml:space="preserve">, </w:t>
      </w:r>
      <w:r>
        <w:rPr>
          <w:szCs w:val="24"/>
          <w:lang w:val="vi-VN"/>
        </w:rPr>
        <w:t>Май Конг Х</w:t>
      </w:r>
      <w:r>
        <w:rPr>
          <w:szCs w:val="24"/>
        </w:rPr>
        <w:t>ы</w:t>
      </w:r>
      <w:r>
        <w:rPr>
          <w:szCs w:val="24"/>
          <w:lang w:val="vi-VN"/>
        </w:rPr>
        <w:t>онг, Нгуен Дык</w:t>
      </w:r>
      <w:proofErr w:type="gramStart"/>
      <w:r>
        <w:rPr>
          <w:szCs w:val="24"/>
          <w:lang w:val="vi-VN"/>
        </w:rPr>
        <w:t xml:space="preserve"> Т</w:t>
      </w:r>
      <w:proofErr w:type="gramEnd"/>
      <w:r>
        <w:rPr>
          <w:szCs w:val="24"/>
          <w:lang w:val="vi-VN"/>
        </w:rPr>
        <w:t>у</w:t>
      </w:r>
    </w:p>
    <w:p w14:paraId="55F693F6" w14:textId="6A35D251" w:rsidR="00B65FDD" w:rsidRDefault="00472997" w:rsidP="00E81351">
      <w:pPr>
        <w:pStyle w:val="ac"/>
      </w:pPr>
      <w:r>
        <w:t>Санкт-Петербургский государственный</w:t>
      </w:r>
      <w:r>
        <w:rPr>
          <w:lang w:val="vi-VN"/>
        </w:rPr>
        <w:t xml:space="preserve"> </w:t>
      </w:r>
      <w:r>
        <w:t>университет телекоммуникаций</w:t>
      </w:r>
      <w:r>
        <w:rPr>
          <w:lang w:val="vi-VN"/>
        </w:rPr>
        <w:t xml:space="preserve"> </w:t>
      </w:r>
      <w:r w:rsidR="00B65FDD">
        <w:br/>
      </w:r>
      <w:r>
        <w:t>им.</w:t>
      </w:r>
      <w:r w:rsidR="00B65FDD">
        <w:t xml:space="preserve"> </w:t>
      </w:r>
      <w:r>
        <w:t>проф. М.А. Бонч-Бруевича</w:t>
      </w:r>
      <w:r>
        <w:rPr>
          <w:lang w:val="vi-VN"/>
        </w:rPr>
        <w:t xml:space="preserve"> </w:t>
      </w:r>
    </w:p>
    <w:p w14:paraId="41545238" w14:textId="1531F4A0" w:rsidR="005011EF" w:rsidRDefault="00472997" w:rsidP="00B65FDD">
      <w:pPr>
        <w:pStyle w:val="ad"/>
        <w:rPr>
          <w:lang w:val="ru-RU"/>
        </w:rPr>
      </w:pPr>
      <w:r>
        <w:rPr>
          <w:iCs/>
        </w:rPr>
        <w:t>thangdang.251196@gmail.com</w:t>
      </w:r>
      <w:r>
        <w:t>, artemanv.work@gmail.com, mai.kkh@sut.ru</w:t>
      </w:r>
    </w:p>
    <w:p w14:paraId="38825666" w14:textId="77777777" w:rsidR="00B65FDD" w:rsidRPr="00B65FDD" w:rsidRDefault="00B65FDD" w:rsidP="00B65FDD">
      <w:pPr>
        <w:pStyle w:val="ad"/>
        <w:rPr>
          <w:sz w:val="22"/>
          <w:szCs w:val="22"/>
          <w:lang w:val="ru-RU"/>
        </w:rPr>
        <w:sectPr w:rsidR="00B65FDD" w:rsidRPr="00B65FDD" w:rsidSect="002C7582">
          <w:footerReference w:type="default" r:id="rId8"/>
          <w:pgSz w:w="11906" w:h="16838"/>
          <w:pgMar w:top="907" w:right="907" w:bottom="1440" w:left="907" w:header="709" w:footer="709" w:gutter="0"/>
          <w:pgNumType w:start="184"/>
          <w:cols w:space="708"/>
          <w:docGrid w:linePitch="360"/>
        </w:sectPr>
      </w:pPr>
    </w:p>
    <w:p w14:paraId="51A6F14A" w14:textId="7B394A56" w:rsidR="005011EF" w:rsidRDefault="005011EF">
      <w:pPr>
        <w:tabs>
          <w:tab w:val="left" w:pos="4466"/>
        </w:tabs>
        <w:rPr>
          <w:lang w:val="vi-VN"/>
        </w:rPr>
        <w:sectPr w:rsidR="005011EF">
          <w:type w:val="continuous"/>
          <w:pgSz w:w="11906" w:h="16838"/>
          <w:pgMar w:top="907" w:right="907" w:bottom="1440" w:left="907" w:header="709" w:footer="709" w:gutter="0"/>
          <w:cols w:space="708"/>
          <w:docGrid w:linePitch="360"/>
        </w:sectPr>
      </w:pPr>
    </w:p>
    <w:p w14:paraId="0C838D63" w14:textId="77777777" w:rsidR="005011EF" w:rsidRDefault="00472997" w:rsidP="00B65FDD">
      <w:pPr>
        <w:pStyle w:val="ae"/>
        <w:rPr>
          <w:lang w:val="vi-VN"/>
        </w:rPr>
      </w:pPr>
      <w:r>
        <w:rPr>
          <w:bCs/>
          <w:i/>
          <w:iCs/>
        </w:rPr>
        <w:lastRenderedPageBreak/>
        <w:t>Аннотация.</w:t>
      </w:r>
      <w:r>
        <w:t xml:space="preserve"> Развитие сетей шестого поколения (6G/IMT-2030) создаёт импульс для перехода архитектуры от централизованных сетевых моделей к распределённым, интеллектуальным и автономным архитектурам. В данной статье представлен систематический обзор трёх базовых технологий, объединенных в экосистеме 6G: федеративного машинного обучения (</w:t>
      </w:r>
      <w:proofErr w:type="spellStart"/>
      <w:r>
        <w:t>Federated</w:t>
      </w:r>
      <w:proofErr w:type="spellEnd"/>
      <w:r>
        <w:t xml:space="preserve"> </w:t>
      </w:r>
      <w:proofErr w:type="spellStart"/>
      <w:r>
        <w:t>Learning</w:t>
      </w:r>
      <w:proofErr w:type="spellEnd"/>
      <w:r>
        <w:t xml:space="preserve"> — FL), туманных вычислений (</w:t>
      </w:r>
      <w:proofErr w:type="spellStart"/>
      <w:r>
        <w:t>Fog</w:t>
      </w:r>
      <w:proofErr w:type="spellEnd"/>
      <w:r>
        <w:t xml:space="preserve"> </w:t>
      </w:r>
      <w:proofErr w:type="spellStart"/>
      <w:r>
        <w:t>Computing</w:t>
      </w:r>
      <w:proofErr w:type="spellEnd"/>
      <w:r>
        <w:t xml:space="preserve"> — FC) и автономных сетей (</w:t>
      </w:r>
      <w:proofErr w:type="spellStart"/>
      <w:r>
        <w:t>Autonomous</w:t>
      </w:r>
      <w:proofErr w:type="spellEnd"/>
      <w:r>
        <w:t xml:space="preserve"> </w:t>
      </w:r>
      <w:proofErr w:type="spellStart"/>
      <w:r>
        <w:t>Networks</w:t>
      </w:r>
      <w:proofErr w:type="spellEnd"/>
      <w:r>
        <w:t xml:space="preserve"> — AN). В работе рассматриваются принципы, архитектура и роль каждой технологии на основе рекомендаций и стандартов ITU. Также анализируются основные технические возможности и проблемы при объединении этих трёх технологий. На этой основе статья определяет направления дальнейших исследований. Результаты показывают, что конвергенция FL-FC-AN является архитектурной основой с большим потенциалом для развития сетей связи следующего поколения.</w:t>
      </w:r>
    </w:p>
    <w:p w14:paraId="2E674B47" w14:textId="311A3CFC" w:rsidR="005011EF" w:rsidRDefault="00472997" w:rsidP="00B65FDD">
      <w:pPr>
        <w:pStyle w:val="af"/>
      </w:pPr>
      <w:bookmarkStart w:id="0" w:name="bookmark=id.30j0zll" w:colFirst="0" w:colLast="0"/>
      <w:bookmarkEnd w:id="0"/>
      <w:r>
        <w:t>Ключевые слова</w:t>
      </w:r>
      <w:r w:rsidR="00B65FDD">
        <w:t>:</w:t>
      </w:r>
      <w:r>
        <w:t xml:space="preserve"> </w:t>
      </w:r>
      <w:r w:rsidR="00B65FDD">
        <w:t xml:space="preserve">федеративное машинное обучение, туманные вычисления, автономные </w:t>
      </w:r>
      <w:r>
        <w:t xml:space="preserve">сети, 6G, IMT-2030, </w:t>
      </w:r>
      <w:r w:rsidR="00B65FDD">
        <w:t>конвергенция технологий, распределённая сетевая архитектура</w:t>
      </w:r>
    </w:p>
    <w:p w14:paraId="4BBFB297" w14:textId="77777777" w:rsidR="005011EF" w:rsidRDefault="00472997">
      <w:pPr>
        <w:pStyle w:val="1"/>
      </w:pPr>
      <w:r>
        <w:t>Введение</w:t>
      </w:r>
    </w:p>
    <w:p w14:paraId="143335DB" w14:textId="77777777" w:rsidR="005011EF" w:rsidRDefault="00472997">
      <w:pPr>
        <w:pStyle w:val="a2"/>
      </w:pPr>
      <w:r>
        <w:t>Сети будущего поколения (IMT-2030/6G) призваны превзойти 5G не только по техническим характеристикам, но и по концепции архитектуры</w:t>
      </w:r>
      <w:r>
        <w:rPr>
          <w:lang w:val="vi-VN"/>
        </w:rPr>
        <w:t xml:space="preserve"> [1]</w:t>
      </w:r>
      <w:r>
        <w:t>. Согласно рекомендации МСЭ-</w:t>
      </w:r>
      <w:proofErr w:type="gramStart"/>
      <w:r>
        <w:t>R</w:t>
      </w:r>
      <w:proofErr w:type="gramEnd"/>
      <w:r>
        <w:t xml:space="preserve"> M.2160 [</w:t>
      </w:r>
      <w:r>
        <w:rPr>
          <w:lang w:val="vi-VN"/>
        </w:rPr>
        <w:t>2</w:t>
      </w:r>
      <w:r>
        <w:t>], IMT-2030 определяет шесть основных сценариев использования. Среди них выделяются приложения с минимальной задержкой, высокой надёжностью и способностью к самоуправлению в зависимости от контекста. Для выполнения этих требований МСЭ предлагает новую архитектурную модель, в которой сетевые функции распределены, решения принимаются локально, а вся система работает автономно без постоянного участия человека.</w:t>
      </w:r>
    </w:p>
    <w:p w14:paraId="0BA5D4B9" w14:textId="77777777" w:rsidR="005011EF" w:rsidRDefault="00472997">
      <w:pPr>
        <w:pStyle w:val="a2"/>
        <w:rPr>
          <w:lang w:val="vi-VN"/>
        </w:rPr>
      </w:pPr>
      <w:r>
        <w:t>В этих условиях три технологии выступают в роли опорных элементов будущей сети 6G. Во-первых, федеративное обучение (FL) обеспечивает распределённый механизм обучения: модели ИИ (искусственного интеллекта) обучаются непосредственно там, где генерируются данные, без их централизованной передачи. Этот подход полностью совместим с архитектурой сетей на основе машинного обучения, определённой в рекомендации МСЭ-Т Y.3172 [</w:t>
      </w:r>
      <w:r>
        <w:rPr>
          <w:lang w:val="vi-VN"/>
        </w:rPr>
        <w:t>3</w:t>
      </w:r>
      <w:r>
        <w:t>]. Во-вторых, туманные вычисления (FC) переносят вычислительные ресурсы ближе к краю сети и создают распределённый слой обработки данных в реальном времени. В рекомендации МСЭ-Т Y.3513 [</w:t>
      </w:r>
      <w:r>
        <w:rPr>
          <w:lang w:val="vi-VN"/>
        </w:rPr>
        <w:t>4</w:t>
      </w:r>
      <w:r>
        <w:t xml:space="preserve">] они </w:t>
      </w:r>
      <w:r>
        <w:lastRenderedPageBreak/>
        <w:t xml:space="preserve">признаны важным инфраструктурным компонентом для </w:t>
      </w:r>
      <w:proofErr w:type="spellStart"/>
      <w:r>
        <w:t>IoT</w:t>
      </w:r>
      <w:proofErr w:type="spellEnd"/>
      <w:r>
        <w:t xml:space="preserve"> и сетей следующего поколения. В-третьих, автономные сети (AN) отражают видение будущей сети, способной к </w:t>
      </w:r>
      <w:proofErr w:type="spellStart"/>
      <w:r>
        <w:t>самовосприятию</w:t>
      </w:r>
      <w:proofErr w:type="spellEnd"/>
      <w:r>
        <w:t>, самостоятельному принятию решений и эволюции в соответствии с целями обслуживания. Это снижает зависимость от человека в процессе управления и эксплуатации. Концепция автономных сетей стандартизирована в рекомендации МСЭ-Т Y.3061 [</w:t>
      </w:r>
      <w:r>
        <w:rPr>
          <w:lang w:val="vi-VN"/>
        </w:rPr>
        <w:t>5</w:t>
      </w:r>
      <w:r>
        <w:t>]. Конвергенция этих трёх технологий отражает не просто техническую тенденцию, но и стратегическое направление МСЭ в построении архитектурной основы для сетей 6G.</w:t>
      </w:r>
    </w:p>
    <w:p w14:paraId="73DE7F97" w14:textId="161CF2EB" w:rsidR="005011EF" w:rsidRDefault="00B65FDD" w:rsidP="00B65FDD">
      <w:pPr>
        <w:pStyle w:val="1"/>
      </w:pPr>
      <w:r w:rsidRPr="00B65FDD">
        <w:t>Автономные сети в контексте</w:t>
      </w:r>
      <w:r w:rsidR="00472997">
        <w:t xml:space="preserve"> </w:t>
      </w:r>
      <w:r w:rsidR="00472997" w:rsidRPr="00B65FDD">
        <w:t>IMT-2030</w:t>
      </w:r>
    </w:p>
    <w:p w14:paraId="3EF98998" w14:textId="29967D50" w:rsidR="005011EF" w:rsidRDefault="00472997">
      <w:pPr>
        <w:pStyle w:val="a2"/>
        <w:rPr>
          <w:lang w:val="vi-VN"/>
        </w:rPr>
      </w:pPr>
      <w:r>
        <w:t xml:space="preserve">Согласно рекомендации МСЭ-Т Y.3061 (2023), автономная сеть определяется как сетевая система, обладающая возможностями </w:t>
      </w:r>
      <w:proofErr w:type="spellStart"/>
      <w:r>
        <w:t>самомониторинга</w:t>
      </w:r>
      <w:proofErr w:type="spellEnd"/>
      <w:r>
        <w:t xml:space="preserve">, </w:t>
      </w:r>
      <w:proofErr w:type="spellStart"/>
      <w:r>
        <w:t>самооптимизации</w:t>
      </w:r>
      <w:proofErr w:type="spellEnd"/>
      <w:r>
        <w:t xml:space="preserve"> и самоадаптации к сложным изменениям среды. Ключевыми особенностями, описанными в этой рекомендации, являются способность к </w:t>
      </w:r>
      <w:r w:rsidR="00B65FDD">
        <w:t>«</w:t>
      </w:r>
      <w:r>
        <w:t>генерации</w:t>
      </w:r>
      <w:r w:rsidR="00B65FDD">
        <w:t>»</w:t>
      </w:r>
      <w:r>
        <w:t xml:space="preserve"> и </w:t>
      </w:r>
      <w:r w:rsidR="00B65FDD">
        <w:t>«</w:t>
      </w:r>
      <w:r>
        <w:t>эволюции</w:t>
      </w:r>
      <w:r w:rsidR="00B65FDD">
        <w:t>»</w:t>
      </w:r>
      <w:r>
        <w:t>. Благодаря им система может самостоятельно разрабатывать, тестировать и внедрять новые решения управления для задач, которые не были заранее запрограммированы.</w:t>
      </w:r>
    </w:p>
    <w:p w14:paraId="06205F3E" w14:textId="77777777" w:rsidR="005011EF" w:rsidRDefault="00472997">
      <w:pPr>
        <w:pStyle w:val="a2"/>
        <w:rPr>
          <w:lang w:val="vi-VN"/>
        </w:rPr>
      </w:pPr>
      <w:r>
        <w:t>Архитектура Y.3061 построена на основе замкнутого взаимодействия между инфраструктурным уровнем и уровнем интеллекта сети. Она включает четыре ключевые подсистемы:</w:t>
      </w:r>
    </w:p>
    <w:p w14:paraId="22F28AE4" w14:textId="77777777" w:rsidR="005011EF" w:rsidRDefault="00472997">
      <w:pPr>
        <w:pStyle w:val="a2"/>
        <w:rPr>
          <w:lang w:val="vi-VN"/>
        </w:rPr>
      </w:pPr>
      <w:r>
        <w:rPr>
          <w:i/>
          <w:iCs/>
          <w:lang w:val="vi-VN"/>
        </w:rPr>
        <w:t>Движок автономии (Autonomy Engine):</w:t>
      </w:r>
      <w:r>
        <w:rPr>
          <w:lang w:val="vi-VN"/>
        </w:rPr>
        <w:t xml:space="preserve"> Включает подсистему </w:t>
      </w:r>
      <w:r>
        <w:t xml:space="preserve">исследования и </w:t>
      </w:r>
      <w:r>
        <w:rPr>
          <w:lang w:val="vi-VN"/>
        </w:rPr>
        <w:t>эволюции</w:t>
      </w:r>
      <w:r>
        <w:t xml:space="preserve"> систем</w:t>
      </w:r>
      <w:r>
        <w:rPr>
          <w:lang w:val="vi-VN"/>
        </w:rPr>
        <w:t xml:space="preserve">, использующую ИИ для автоматического создания новых контроллеров, и испытательную подсистему, предоставляющую среду-песочницу </w:t>
      </w:r>
      <w:r>
        <w:t xml:space="preserve">ИИ </w:t>
      </w:r>
      <w:r>
        <w:rPr>
          <w:lang w:val="vi-VN"/>
        </w:rPr>
        <w:t>(AN sandbox) для проверки перед реальным развёртыванием.</w:t>
      </w:r>
    </w:p>
    <w:p w14:paraId="4DC71D9A" w14:textId="77777777" w:rsidR="005011EF" w:rsidRDefault="00472997">
      <w:pPr>
        <w:pStyle w:val="a2"/>
        <w:rPr>
          <w:lang w:val="vi-VN"/>
        </w:rPr>
      </w:pPr>
      <w:r>
        <w:rPr>
          <w:i/>
          <w:iCs/>
          <w:lang w:val="vi-VN"/>
        </w:rPr>
        <w:t xml:space="preserve">Подсистема динамической адаптации (Dynamic Adaptation): </w:t>
      </w:r>
      <w:r>
        <w:rPr>
          <w:lang w:val="vi-VN"/>
        </w:rPr>
        <w:t>Встраивает проверенные контроллеры в сетевую инфраструктуру и корректирует рабочие параметры в реальном времени без прерывания обслуживания.</w:t>
      </w:r>
    </w:p>
    <w:p w14:paraId="6AC76F70" w14:textId="77777777" w:rsidR="005011EF" w:rsidRDefault="00472997">
      <w:pPr>
        <w:pStyle w:val="a2"/>
        <w:rPr>
          <w:lang w:val="vi-VN"/>
        </w:rPr>
      </w:pPr>
      <w:r>
        <w:rPr>
          <w:i/>
          <w:iCs/>
          <w:lang w:val="vi-VN"/>
        </w:rPr>
        <w:t xml:space="preserve">База знаний (Knowledge Base): </w:t>
      </w:r>
      <w:r>
        <w:rPr>
          <w:lang w:val="vi-VN"/>
        </w:rPr>
        <w:t>Управляет жизненным циклом данных, метаданных, моделей машинного обучения и логических выводов. Она предоставляет обучающие данные и контекстную информацию для алгоритмов ИИ.</w:t>
      </w:r>
    </w:p>
    <w:p w14:paraId="000B1B5F" w14:textId="77777777" w:rsidR="005011EF" w:rsidRDefault="00472997">
      <w:pPr>
        <w:pStyle w:val="a2"/>
        <w:rPr>
          <w:lang w:val="vi-VN"/>
        </w:rPr>
      </w:pPr>
      <w:r>
        <w:rPr>
          <w:i/>
          <w:iCs/>
          <w:lang w:val="vi-VN"/>
        </w:rPr>
        <w:t>Оркестратор (AN Orchestrator):</w:t>
      </w:r>
      <w:r>
        <w:rPr>
          <w:lang w:val="vi-VN"/>
        </w:rPr>
        <w:t xml:space="preserve"> Управляет в</w:t>
      </w:r>
      <w:bookmarkStart w:id="1" w:name="_GoBack"/>
      <w:bookmarkEnd w:id="1"/>
      <w:r>
        <w:rPr>
          <w:lang w:val="vi-VN"/>
        </w:rPr>
        <w:t xml:space="preserve">нутренними рабочими процессами и координирует </w:t>
      </w:r>
      <w:r>
        <w:rPr>
          <w:lang w:val="vi-VN"/>
        </w:rPr>
        <w:lastRenderedPageBreak/>
        <w:t>объекты управления по всей сети, включая сегментацию сети (network slicing) по показателям QoS.</w:t>
      </w:r>
    </w:p>
    <w:p w14:paraId="5153E1A8" w14:textId="5B4A02B2" w:rsidR="005011EF" w:rsidRDefault="00472997">
      <w:pPr>
        <w:pStyle w:val="a2"/>
      </w:pPr>
      <w:r>
        <w:t xml:space="preserve">Автономные сети в контексте IMT-2030 ориентированы на модель эксплуатации </w:t>
      </w:r>
      <w:r w:rsidR="00B65FDD">
        <w:t>«</w:t>
      </w:r>
      <w:proofErr w:type="spellStart"/>
      <w:r>
        <w:t>Zero-touch</w:t>
      </w:r>
      <w:proofErr w:type="spellEnd"/>
      <w:r w:rsidR="00B65FDD">
        <w:t>»</w:t>
      </w:r>
      <w:r>
        <w:t xml:space="preserve">. Эта модель опирается на четыре ключевые возможности, определённые в Y.3061: </w:t>
      </w:r>
      <w:proofErr w:type="spellStart"/>
      <w:r>
        <w:t>самоконфигурация</w:t>
      </w:r>
      <w:proofErr w:type="spellEnd"/>
      <w:r>
        <w:t xml:space="preserve">, </w:t>
      </w:r>
      <w:proofErr w:type="spellStart"/>
      <w:r>
        <w:t>самооптимизация</w:t>
      </w:r>
      <w:proofErr w:type="spellEnd"/>
      <w:r>
        <w:t>, самовосстановление и самозащита. Все они поддерживаются замкнутым циклом обратной связи MAPE-K: мониторинг, анализ</w:t>
      </w:r>
      <w:r>
        <w:rPr>
          <w:lang w:val="vi-VN"/>
        </w:rPr>
        <w:t>,</w:t>
      </w:r>
      <w:r>
        <w:t xml:space="preserve"> планирование, выполнение и обновление базы знаний.</w:t>
      </w:r>
    </w:p>
    <w:p w14:paraId="1A04C346" w14:textId="77777777" w:rsidR="005011EF" w:rsidRDefault="00472997">
      <w:pPr>
        <w:pStyle w:val="a2"/>
        <w:rPr>
          <w:lang w:val="vi-VN"/>
        </w:rPr>
      </w:pPr>
      <w:r>
        <w:t>Согласно МСЭ-Т Y.3172, в сетях следующего поколения распределённые циклы MAPE-K не основываются на статических порогах. Вместо этого они управляются моделями машинного обучения. Это позволяет сети гибко распределять ресурсы и прогнозировать балансировку нагрузки. Такой подход создаёт естественную основу для конвергенции с туманными вычислениями и федеративным обучением.</w:t>
      </w:r>
    </w:p>
    <w:p w14:paraId="43C414B8" w14:textId="1D0A5CD8" w:rsidR="005011EF" w:rsidRDefault="00B65FDD" w:rsidP="00B65FDD">
      <w:pPr>
        <w:pStyle w:val="1"/>
      </w:pPr>
      <w:r>
        <w:t>Туманные вычисления: теория и архитектура</w:t>
      </w:r>
    </w:p>
    <w:p w14:paraId="545BAAD6" w14:textId="264DBF65" w:rsidR="005011EF" w:rsidRDefault="00472997" w:rsidP="00B65FDD">
      <w:pPr>
        <w:pStyle w:val="a2"/>
        <w:rPr>
          <w:lang w:val="vi-VN"/>
        </w:rPr>
      </w:pPr>
      <w:r w:rsidRPr="00B65FDD">
        <w:t>Концепция</w:t>
      </w:r>
      <w:r>
        <w:t xml:space="preserve"> туманных вычислений была впервые предложена </w:t>
      </w:r>
      <w:proofErr w:type="spellStart"/>
      <w:r>
        <w:t>Бономи</w:t>
      </w:r>
      <w:proofErr w:type="spellEnd"/>
      <w:r>
        <w:t xml:space="preserve"> и соавторами из </w:t>
      </w:r>
      <w:proofErr w:type="spellStart"/>
      <w:r>
        <w:t>Cisco</w:t>
      </w:r>
      <w:proofErr w:type="spellEnd"/>
      <w:r>
        <w:t xml:space="preserve"> в 2012 году [</w:t>
      </w:r>
      <w:r>
        <w:rPr>
          <w:lang w:val="vi-VN"/>
        </w:rPr>
        <w:t>6</w:t>
      </w:r>
      <w:r>
        <w:t xml:space="preserve">]. Ключевая идея состоит в расширении облачной модели вычислений к краю сети с целью создания промежуточного слоя обработки данных, подходящего для </w:t>
      </w:r>
      <w:proofErr w:type="spellStart"/>
      <w:r>
        <w:t>IoT</w:t>
      </w:r>
      <w:proofErr w:type="spellEnd"/>
      <w:r>
        <w:t xml:space="preserve">-приложений с низкой задержкой. С тех пор туманные вычисления рассматриваются как важный распределённый слой обработки, обеспечивающий вычислительные ресурсы, хранение данных и связь в диапазоне от облака до конечных устройств. В отличие от чисто облачных вычислений, Туманные вычисления делают акцент на многоуровневой распределённой архитектуре, где узлы тумана располагаются на различных позициях сети </w:t>
      </w:r>
      <w:r w:rsidR="00B65FDD">
        <w:t>–</w:t>
      </w:r>
      <w:r>
        <w:t xml:space="preserve"> ближе к источникам данных.</w:t>
      </w:r>
      <w:r>
        <w:rPr>
          <w:lang w:val="vi-VN"/>
        </w:rPr>
        <w:t xml:space="preserve"> Недавние исследования показывают, что туманные вычисления играют важную роль в поддержке новых сервисов реального времени, включая услуги телеприсутствия и иммерсивные приложения следующего поколения [7].</w:t>
      </w:r>
    </w:p>
    <w:p w14:paraId="5BB5C555" w14:textId="4396EEC1" w:rsidR="005011EF" w:rsidRDefault="00472997">
      <w:pPr>
        <w:pStyle w:val="a2"/>
      </w:pPr>
      <w:r>
        <w:t xml:space="preserve">Типичная архитектура туманных вычислений организована по трёхуровневой иерархической модели: уровень устройств, включающий </w:t>
      </w:r>
      <w:proofErr w:type="spellStart"/>
      <w:r>
        <w:t>IoT</w:t>
      </w:r>
      <w:proofErr w:type="spellEnd"/>
      <w:r>
        <w:t xml:space="preserve">-устройства, датчики и исполнительные механизмы; уровень тумана, включающий узлы тумана, шлюзы и граничные процессоры; и облачный уровень </w:t>
      </w:r>
      <w:r w:rsidR="00B65FDD">
        <w:t>–</w:t>
      </w:r>
      <w:r>
        <w:t xml:space="preserve"> инфраструктура центров обработки данных. Интеграция SDN и NFV в архитектуру тумана формирует модель с двумя контурами управления: быстрым на границе сети и медленным в центре. Это отражает принцип иерархической архитектуры, который МСЭ-Т определил необходимым свойством инфраструктуры IMT-2030.</w:t>
      </w:r>
    </w:p>
    <w:p w14:paraId="676035CD" w14:textId="2051A82B" w:rsidR="005011EF" w:rsidRDefault="00472997">
      <w:pPr>
        <w:pStyle w:val="a2"/>
        <w:rPr>
          <w:lang w:val="vi-VN"/>
        </w:rPr>
      </w:pPr>
      <w:r>
        <w:t>В архитектуре сетей 6</w:t>
      </w:r>
      <w:r>
        <w:rPr>
          <w:lang w:val="en-US"/>
        </w:rPr>
        <w:t>G</w:t>
      </w:r>
      <w:r>
        <w:t xml:space="preserve"> туманные вычисления могут играть роль </w:t>
      </w:r>
      <w:r w:rsidR="00B65FDD">
        <w:t>«</w:t>
      </w:r>
      <w:r>
        <w:t>активатора интеллекта</w:t>
      </w:r>
      <w:r w:rsidR="00B65FDD">
        <w:t>»</w:t>
      </w:r>
      <w:r>
        <w:t xml:space="preserve"> по трём ключевым причинам. Во-первых, локальная обработка данных позволяет выполнять требования по низкой задержке. Во-вторых, распределённая архитектура решает задачу масштабирования в среде массового </w:t>
      </w:r>
      <w:proofErr w:type="spellStart"/>
      <w:r>
        <w:t>IoT</w:t>
      </w:r>
      <w:proofErr w:type="spellEnd"/>
      <w:r>
        <w:t>. В-третьих, возможность работы независимо от облачного соединения обеспечивает непрерывность обслуживания критически важных приложений.</w:t>
      </w:r>
    </w:p>
    <w:p w14:paraId="70FCF733" w14:textId="40ED689F" w:rsidR="005011EF" w:rsidRDefault="00B65FDD" w:rsidP="00B65FDD">
      <w:pPr>
        <w:pStyle w:val="1"/>
        <w:rPr>
          <w:lang w:val="vi-VN"/>
        </w:rPr>
      </w:pPr>
      <w:r>
        <w:lastRenderedPageBreak/>
        <w:t>Федеративное обучение: теория, классификация и применение в сетях</w:t>
      </w:r>
    </w:p>
    <w:p w14:paraId="33A457CA" w14:textId="67DFB540" w:rsidR="005011EF" w:rsidRDefault="00472997">
      <w:pPr>
        <w:pStyle w:val="a2"/>
      </w:pPr>
      <w:r>
        <w:t xml:space="preserve">Федеративное обучение </w:t>
      </w:r>
      <w:r w:rsidR="00B65FDD">
        <w:t>–</w:t>
      </w:r>
      <w:r>
        <w:t xml:space="preserve"> это метод обучения моделей машинного обучения в распределённом режиме, при котором обучающие данные остаются на устройствах-источниках. Алгоритм </w:t>
      </w:r>
      <w:proofErr w:type="spellStart"/>
      <w:r>
        <w:t>FedAvg</w:t>
      </w:r>
      <w:proofErr w:type="spellEnd"/>
      <w:r>
        <w:t xml:space="preserve">, предложенный </w:t>
      </w:r>
      <w:proofErr w:type="spellStart"/>
      <w:r>
        <w:t>Макмаханом</w:t>
      </w:r>
      <w:proofErr w:type="spellEnd"/>
      <w:r>
        <w:t xml:space="preserve"> и соавторами в 2017 году [</w:t>
      </w:r>
      <w:r>
        <w:rPr>
          <w:lang w:val="vi-VN"/>
        </w:rPr>
        <w:t>8</w:t>
      </w:r>
      <w:r>
        <w:t xml:space="preserve">], заложил основу этого подхода: вместо централизованной передачи данных FL обменивается информацией о модели (градиентами или весами) и агрегирует её для улучшения глобальной модели. Эти свойства делают федеративное обучение одним из наиболее подходящих механизмов машинного обучения с точки зрения требований IMT-2030 к </w:t>
      </w:r>
      <w:proofErr w:type="spellStart"/>
      <w:r>
        <w:t>распределённости</w:t>
      </w:r>
      <w:proofErr w:type="spellEnd"/>
      <w:r>
        <w:t>, безопасности и эффективному использованию ресурсов.</w:t>
      </w:r>
    </w:p>
    <w:p w14:paraId="42C8A864" w14:textId="7558E287" w:rsidR="005011EF" w:rsidRDefault="00472997">
      <w:pPr>
        <w:pStyle w:val="a2"/>
      </w:pPr>
      <w:r>
        <w:t xml:space="preserve">Фундаментальная сложность FL </w:t>
      </w:r>
      <w:r w:rsidR="00B65FDD">
        <w:t>–</w:t>
      </w:r>
      <w:r>
        <w:t xml:space="preserve"> проблема неоднородных данных (</w:t>
      </w:r>
      <w:proofErr w:type="spellStart"/>
      <w:r>
        <w:t>non</w:t>
      </w:r>
      <w:proofErr w:type="spellEnd"/>
      <w:r>
        <w:t xml:space="preserve">-IID): когда данные на разных устройствах существенно различаются по распределению, возникает эффект </w:t>
      </w:r>
      <w:r w:rsidR="00B65FDD">
        <w:t>«</w:t>
      </w:r>
      <w:r>
        <w:t>смещения клиента</w:t>
      </w:r>
      <w:r w:rsidR="00B65FDD">
        <w:t>»</w:t>
      </w:r>
      <w:r>
        <w:t>. Это замедляет сходимость и снижает качество модели. Ли и соавторы [</w:t>
      </w:r>
      <w:r>
        <w:rPr>
          <w:lang w:val="vi-VN"/>
        </w:rPr>
        <w:t>9</w:t>
      </w:r>
      <w:r>
        <w:t xml:space="preserve">] систематизировали эти проблемы и показали, что решение задачи </w:t>
      </w:r>
      <w:proofErr w:type="spellStart"/>
      <w:r>
        <w:t>non</w:t>
      </w:r>
      <w:proofErr w:type="spellEnd"/>
      <w:r>
        <w:t>-IID в условиях реальных телекоммуникационных сетей остаётся открытой исследовательской проблемой.</w:t>
      </w:r>
    </w:p>
    <w:p w14:paraId="26F0CD29" w14:textId="77AD2A9F" w:rsidR="005011EF" w:rsidRDefault="00472997">
      <w:pPr>
        <w:pStyle w:val="a2"/>
        <w:rPr>
          <w:lang w:val="vi-VN"/>
        </w:rPr>
      </w:pPr>
      <w:r>
        <w:t xml:space="preserve">В литературе FL классифицируется по пространству данных: горизонтальное FL применяется, когда у устройств общее пространство признаков, но разные выборки данных; вертикальное FL </w:t>
      </w:r>
      <w:r w:rsidR="00B65FDD">
        <w:t>–</w:t>
      </w:r>
      <w:r>
        <w:t xml:space="preserve"> когда общие выборки, но разные признаки; федеративное обучение с переносом охватывает случаи, когда различаются и выборки, и признаки. По топологии связи FL бывает централизованным, децентрализованным или иерархическим</w:t>
      </w:r>
      <w:r>
        <w:rPr>
          <w:lang w:val="vi-VN"/>
        </w:rPr>
        <w:t>.</w:t>
      </w:r>
    </w:p>
    <w:p w14:paraId="7EFB66A5" w14:textId="77777777" w:rsidR="005011EF" w:rsidRDefault="00472997">
      <w:pPr>
        <w:pStyle w:val="a2"/>
        <w:rPr>
          <w:lang w:val="vi-VN"/>
        </w:rPr>
      </w:pPr>
      <w:r>
        <w:t xml:space="preserve">Иерархическое федеративное обучение особенно важно в телекоммуникациях благодаря естественной совместимости с иерархической архитектурой тумана. </w:t>
      </w:r>
      <w:proofErr w:type="spellStart"/>
      <w:r>
        <w:t>Хоссейналипур</w:t>
      </w:r>
      <w:proofErr w:type="spellEnd"/>
      <w:r>
        <w:t xml:space="preserve"> и соавторы [</w:t>
      </w:r>
      <w:r>
        <w:rPr>
          <w:lang w:val="vi-VN"/>
        </w:rPr>
        <w:t>10</w:t>
      </w:r>
      <w:r>
        <w:t>] показали, что промежуточные уровни агрегации, соответствующие узлам тумана, выполняют локальную агрегацию перед передачей результатов на вышестоящий уровень. Это существенно снижает нагрузку на магистральные каналы связи. Данная модель также рекомендована в МСЭ-Т Y.3172 для систем машинного обучения в сетях будущего.</w:t>
      </w:r>
    </w:p>
    <w:p w14:paraId="0D9DD675" w14:textId="6ED3797F" w:rsidR="005011EF" w:rsidRDefault="00472997">
      <w:pPr>
        <w:pStyle w:val="a2"/>
      </w:pPr>
      <w:proofErr w:type="spellStart"/>
      <w:r>
        <w:t>Распределённость</w:t>
      </w:r>
      <w:proofErr w:type="spellEnd"/>
      <w:r>
        <w:t xml:space="preserve"> FL органично сочетается с </w:t>
      </w:r>
      <w:proofErr w:type="spellStart"/>
      <w:r>
        <w:t>распределённостью</w:t>
      </w:r>
      <w:proofErr w:type="spellEnd"/>
      <w:r>
        <w:t xml:space="preserve"> сетевой инфраструктуры, что создаёт естественную архитектурную совместимость. МСЭ-Т Y.317</w:t>
      </w:r>
      <w:r>
        <w:rPr>
          <w:lang w:val="vi-VN"/>
        </w:rPr>
        <w:t>2</w:t>
      </w:r>
      <w:r>
        <w:t xml:space="preserve"> рассматривает FL как один из подходящих механизмов для распределённого управления </w:t>
      </w:r>
      <w:proofErr w:type="spellStart"/>
      <w:r>
        <w:t>радиоресурсами</w:t>
      </w:r>
      <w:proofErr w:type="spellEnd"/>
      <w:r>
        <w:t xml:space="preserve">, прогнозирования качества канала и обнаружения сетевых аномалий в архитектуре IMT-2030. </w:t>
      </w:r>
      <w:proofErr w:type="spellStart"/>
      <w:r>
        <w:t>Сирохи</w:t>
      </w:r>
      <w:proofErr w:type="spellEnd"/>
      <w:r>
        <w:t xml:space="preserve"> и соавторы [</w:t>
      </w:r>
      <w:r>
        <w:rPr>
          <w:lang w:val="vi-VN"/>
        </w:rPr>
        <w:t>11</w:t>
      </w:r>
      <w:r>
        <w:t>] подтвердили это в своём обширном обзоре, указав, что FL не только обеспечивает конфиденциальность данных, но и повышает безопасность коммуникационных систем 6G. Тем не менее</w:t>
      </w:r>
      <w:r w:rsidR="00B65FDD">
        <w:t>,</w:t>
      </w:r>
      <w:r>
        <w:t xml:space="preserve"> практическое развёртывание по-прежнему сопряжено с трудностями управления ресурсами в процессе обучения и обеспечением сходимости в динамичной сетевой среде.</w:t>
      </w:r>
    </w:p>
    <w:p w14:paraId="7B390C69" w14:textId="059D2228" w:rsidR="005011EF" w:rsidRDefault="00B65FDD" w:rsidP="00B65FDD">
      <w:pPr>
        <w:pStyle w:val="1"/>
        <w:rPr>
          <w:lang w:val="vi-VN"/>
        </w:rPr>
      </w:pPr>
      <w:r>
        <w:lastRenderedPageBreak/>
        <w:t xml:space="preserve">Конвергенция </w:t>
      </w:r>
      <w:proofErr w:type="spellStart"/>
      <w:r>
        <w:t>fl-fc-an</w:t>
      </w:r>
      <w:proofErr w:type="spellEnd"/>
      <w:r>
        <w:t>: возможности и проблемы</w:t>
      </w:r>
    </w:p>
    <w:p w14:paraId="569E040A" w14:textId="77777777" w:rsidR="005011EF" w:rsidRPr="00B65FDD" w:rsidRDefault="00472997" w:rsidP="00B65FDD">
      <w:pPr>
        <w:pStyle w:val="a2"/>
        <w:spacing w:after="80" w:line="223" w:lineRule="auto"/>
        <w:rPr>
          <w:spacing w:val="-2"/>
        </w:rPr>
      </w:pPr>
      <w:r w:rsidRPr="00B65FDD">
        <w:rPr>
          <w:spacing w:val="-2"/>
        </w:rPr>
        <w:t>Туманные вычисления, федеративное обучение и автономные сети</w:t>
      </w:r>
      <w:r w:rsidRPr="00B65FDD">
        <w:rPr>
          <w:spacing w:val="-2"/>
          <w:lang w:val="vi-VN"/>
        </w:rPr>
        <w:t xml:space="preserve"> </w:t>
      </w:r>
      <w:r w:rsidRPr="00B65FDD">
        <w:rPr>
          <w:spacing w:val="-2"/>
        </w:rPr>
        <w:t xml:space="preserve">открывают возможность для кардинального сдвига в проектировании сетей 6G: от пассивных централизованных вычислительных моделей к распределённым, самоуправляемым экосистемам с </w:t>
      </w:r>
      <w:proofErr w:type="spellStart"/>
      <w:r w:rsidRPr="00B65FDD">
        <w:rPr>
          <w:spacing w:val="-2"/>
        </w:rPr>
        <w:t>нативной</w:t>
      </w:r>
      <w:proofErr w:type="spellEnd"/>
      <w:r w:rsidRPr="00B65FDD">
        <w:rPr>
          <w:spacing w:val="-2"/>
        </w:rPr>
        <w:t xml:space="preserve"> архитектурой ИИ. Согласно архитектурным ориентирам от МСЭ-Т, эти три технологии совместно формируют реализуемое видение: Туманные вычисления обеспечивают распределённую вычислительную инфраструктуру для эффективной работы FL; FL предоставляет механизм непрерывного адаптивного и распределенного обучения, обогащающего знания автономной сети; а автономная сеть координирует общую архитектуру и оптимизирует ресурсы всей экосистемы.</w:t>
      </w:r>
    </w:p>
    <w:p w14:paraId="070DE30E" w14:textId="710FCE2A" w:rsidR="005011EF" w:rsidRDefault="00472997" w:rsidP="00B65FDD">
      <w:pPr>
        <w:pStyle w:val="a2"/>
        <w:spacing w:after="80"/>
      </w:pPr>
      <w:r>
        <w:rPr>
          <w:i/>
          <w:iCs/>
        </w:rPr>
        <w:t>Потенциальные возможности:</w:t>
      </w:r>
      <w:r>
        <w:t xml:space="preserve"> Конвергенция этих технологий даёт три группы архитектурных преимуществ. Первое</w:t>
      </w:r>
      <w:r>
        <w:rPr>
          <w:lang w:val="vi-VN"/>
        </w:rPr>
        <w:t xml:space="preserve"> </w:t>
      </w:r>
      <w:r w:rsidR="00B65FDD">
        <w:t>–</w:t>
      </w:r>
      <w:r>
        <w:t xml:space="preserve"> перенос обработки данных ближе к их источнику данных, что снижает нагрузку на ядро сети, что соответствует требованиям IMT-2030 по эффективному использованию полосы пропускания. Второе</w:t>
      </w:r>
      <w:r>
        <w:rPr>
          <w:lang w:val="vi-VN"/>
        </w:rPr>
        <w:t xml:space="preserve"> </w:t>
      </w:r>
      <w:r w:rsidR="00B65FDD">
        <w:t>–</w:t>
      </w:r>
      <w:r>
        <w:t xml:space="preserve"> механизм FL гарантирует, что необработанные данные не покидают локальную среду, создавая естественный уровень защиты конфиденциальности</w:t>
      </w:r>
      <w:r>
        <w:rPr>
          <w:lang w:val="vi-VN"/>
        </w:rPr>
        <w:t xml:space="preserve">. </w:t>
      </w:r>
      <w:r>
        <w:t>Это требование МСЭ-Т подчёркивается в рамках Рекомендаций по управлению ИИ. Третье</w:t>
      </w:r>
      <w:r>
        <w:rPr>
          <w:lang w:val="vi-VN"/>
        </w:rPr>
        <w:t xml:space="preserve"> </w:t>
      </w:r>
      <w:r w:rsidR="00B65FDD">
        <w:t>–</w:t>
      </w:r>
      <w:r>
        <w:t xml:space="preserve"> автономные сети обеспечивают интеллектуальный уровень координации через цикл MAPE-K, позволяя всей архитектуре работать в режиме </w:t>
      </w:r>
      <w:proofErr w:type="spellStart"/>
      <w:r>
        <w:t>zero-touch</w:t>
      </w:r>
      <w:proofErr w:type="spellEnd"/>
      <w:r>
        <w:t xml:space="preserve"> без </w:t>
      </w:r>
      <w:r w:rsidR="00B65FDD">
        <w:t>«</w:t>
      </w:r>
      <w:r>
        <w:t>ручного</w:t>
      </w:r>
      <w:r w:rsidR="00B65FDD">
        <w:t>»</w:t>
      </w:r>
      <w:r>
        <w:t xml:space="preserve"> вмешательства.</w:t>
      </w:r>
    </w:p>
    <w:p w14:paraId="3ACC4762" w14:textId="653C8C05" w:rsidR="005011EF" w:rsidRDefault="00472997" w:rsidP="00B65FDD">
      <w:pPr>
        <w:pStyle w:val="a2"/>
        <w:spacing w:after="80" w:line="223" w:lineRule="auto"/>
        <w:rPr>
          <w:lang w:val="vi-VN"/>
        </w:rPr>
      </w:pPr>
      <w:r>
        <w:rPr>
          <w:i/>
          <w:iCs/>
        </w:rPr>
        <w:t>Технические проблемы:</w:t>
      </w:r>
      <w:r>
        <w:t xml:space="preserve"> Конвергенция порождает три группы ключевых проблем. Первая</w:t>
      </w:r>
      <w:r>
        <w:rPr>
          <w:lang w:val="vi-VN"/>
        </w:rPr>
        <w:t xml:space="preserve"> </w:t>
      </w:r>
      <w:r w:rsidR="00B65FDD">
        <w:t>–</w:t>
      </w:r>
      <w:r>
        <w:t xml:space="preserve"> неоднородность данных в реальных сетях вызывает смещение модели, что снижает качество и надёжность системы распределённого обучения ИИ. Вторая — выделение вычислительных ресурсов тумана для задач FL порождает сложную задачу многокритериальной оптимизации с трудноразрешимым компромиссом между задержкой, энергопотреблением и точностью модели. Третья </w:t>
      </w:r>
      <w:r w:rsidR="00B65FDD">
        <w:t>–</w:t>
      </w:r>
      <w:r>
        <w:t xml:space="preserve"> в распределённой архитектуре создаются новые уязвимости в системе безопасности, особенно </w:t>
      </w:r>
      <w:proofErr w:type="gramStart"/>
      <w:r>
        <w:t>угрозы</w:t>
      </w:r>
      <w:proofErr w:type="gramEnd"/>
      <w:r>
        <w:t xml:space="preserve"> так называемого отравления модели ИИ и проблему обеспечения </w:t>
      </w:r>
      <w:r w:rsidR="00B65FDD">
        <w:t>«</w:t>
      </w:r>
      <w:r>
        <w:t>справедливого участия</w:t>
      </w:r>
      <w:r w:rsidR="00B65FDD">
        <w:t>»</w:t>
      </w:r>
      <w:r>
        <w:t xml:space="preserve"> узлов в </w:t>
      </w:r>
      <w:r>
        <w:rPr>
          <w:lang w:val="en-US"/>
        </w:rPr>
        <w:t>FL</w:t>
      </w:r>
      <w:r>
        <w:t xml:space="preserve"> сети.</w:t>
      </w:r>
    </w:p>
    <w:p w14:paraId="49DB5663" w14:textId="1F3FAC52" w:rsidR="005011EF" w:rsidRDefault="00B65FDD" w:rsidP="00B65FDD">
      <w:pPr>
        <w:pStyle w:val="1"/>
        <w:rPr>
          <w:lang w:val="vi-VN"/>
        </w:rPr>
      </w:pPr>
      <w:r>
        <w:t>Будущие направления исследований</w:t>
      </w:r>
    </w:p>
    <w:p w14:paraId="7E8E015B" w14:textId="77777777" w:rsidR="005011EF" w:rsidRDefault="00472997" w:rsidP="00B65FDD">
      <w:pPr>
        <w:pStyle w:val="a2"/>
        <w:spacing w:after="80" w:line="223" w:lineRule="auto"/>
      </w:pPr>
      <w:r>
        <w:t>На основе выявленных возможностей и проблем предлагаются следующие пять приоритетных направлений исследований для поэтапной реализации конвергентной архитектуры в экосистеме IMT-2030.</w:t>
      </w:r>
      <w:r>
        <w:rPr>
          <w:lang w:val="vi-VN"/>
        </w:rPr>
        <w:t xml:space="preserve"> </w:t>
      </w:r>
      <w:r>
        <w:t>Стандартизация интегрированной эталонной архитектуры:</w:t>
      </w:r>
      <w:r>
        <w:rPr>
          <w:lang w:val="vi-VN"/>
        </w:rPr>
        <w:t xml:space="preserve"> </w:t>
      </w:r>
      <w:r>
        <w:t>необходимо разработать стандартизированную эталонную архитектурную модель, соответствующую текущим рамкам МСЭ-Т. В ней должны быть чётко определены функциональные блоки, интерфейсы и механизмы координации между уровнями FL-FC-AN. Это создаст общую основу для последовательного сравнения и оценки будущих исследований и разработок.</w:t>
      </w:r>
    </w:p>
    <w:p w14:paraId="28D707C1" w14:textId="77777777" w:rsidR="005011EF" w:rsidRDefault="00472997" w:rsidP="00B65FDD">
      <w:pPr>
        <w:pStyle w:val="a2"/>
        <w:spacing w:after="80" w:line="223" w:lineRule="auto"/>
      </w:pPr>
      <w:r>
        <w:t xml:space="preserve">Адаптивные алгоритмы FL для динамичных сетевых сред: необходимо разработать алгоритмы FL, специально для телекоммуникационной среды. Они должны справляться с неоднородностью данных, отключением </w:t>
      </w:r>
      <w:r>
        <w:lastRenderedPageBreak/>
        <w:t>устройств и непрерывными временными потоками данных. Федеративное обучение с подкреплением также является перспективным направлением, совместимым с механизмом цикла MAPE-K в автономных сетях.</w:t>
      </w:r>
    </w:p>
    <w:p w14:paraId="5C514F27" w14:textId="77777777" w:rsidR="005011EF" w:rsidRDefault="00472997" w:rsidP="00B65FDD">
      <w:pPr>
        <w:pStyle w:val="a2"/>
        <w:spacing w:after="80" w:line="223" w:lineRule="auto"/>
      </w:pPr>
      <w:r>
        <w:t>Интеллектуальное управление ресурсами тумана: необходимо решить задачу многокритериального распределения ресурсов многофункционального узла тумана, где вычислительные ресурсы, память и полоса пропускания динамически делятся между агрегацией FL, обработкой в реальном времени и выполнением политики автономии. Это актуальная прикладная задача, особенно в условиях ограниченных граничных ресурсов.</w:t>
      </w:r>
    </w:p>
    <w:p w14:paraId="3656756B" w14:textId="3CC0EC43" w:rsidR="005011EF" w:rsidRDefault="00472997" w:rsidP="00B65FDD">
      <w:pPr>
        <w:pStyle w:val="a2"/>
        <w:spacing w:after="80" w:line="223" w:lineRule="auto"/>
      </w:pPr>
      <w:r>
        <w:t xml:space="preserve">Распределённая безопасность и доверенный ИИ: Нужны механизмы обнаружения и предотвращения атак типа </w:t>
      </w:r>
      <w:r w:rsidR="00B65FDD">
        <w:t>«</w:t>
      </w:r>
      <w:r>
        <w:t>отравление модели</w:t>
      </w:r>
      <w:r w:rsidR="00B65FDD">
        <w:t>»</w:t>
      </w:r>
      <w:r>
        <w:t>, стимулирования равноправного участия, а также разработка распределённого объяснимого ИИ в реальном времени. Последнее является обязательным требованием для критически важных автономных систем согласно принципам управления ИИ МСЭ-Т.</w:t>
      </w:r>
    </w:p>
    <w:p w14:paraId="2DE35314" w14:textId="57F39A91" w:rsidR="005011EF" w:rsidRDefault="00472997" w:rsidP="00B65FDD">
      <w:pPr>
        <w:pStyle w:val="a2"/>
        <w:spacing w:after="80" w:line="223" w:lineRule="auto"/>
        <w:rPr>
          <w:lang w:val="vi-VN"/>
        </w:rPr>
      </w:pPr>
      <w:r>
        <w:t xml:space="preserve">Интеграция с новыми технологиями 6G: Конвергентная архитектура должна быть расширена для интеграции с реконфигурируемыми интеллектуальными логическими </w:t>
      </w:r>
      <w:r w:rsidR="00B65FDD">
        <w:t>«</w:t>
      </w:r>
      <w:r>
        <w:t>поверхностями</w:t>
      </w:r>
      <w:r w:rsidR="00B65FDD">
        <w:t>»</w:t>
      </w:r>
      <w:r>
        <w:t>, негеостационарными сетями</w:t>
      </w:r>
      <w:r>
        <w:rPr>
          <w:lang w:val="vi-VN"/>
        </w:rPr>
        <w:t xml:space="preserve"> </w:t>
      </w:r>
      <w:r>
        <w:t>и интегрированным зондированием</w:t>
      </w:r>
      <w:r>
        <w:rPr>
          <w:lang w:val="vi-VN"/>
        </w:rPr>
        <w:t xml:space="preserve">. </w:t>
      </w:r>
      <w:r>
        <w:t>Эти технологии определены в МСЭ-Р M.2160 как важные компоненты экосистемы IMT-2030. Такое расширение требует комплексного архитектурного мышления и углублённых междисциплинарных исследований.</w:t>
      </w:r>
    </w:p>
    <w:p w14:paraId="04F6EB81" w14:textId="77777777" w:rsidR="005011EF" w:rsidRDefault="00472997">
      <w:pPr>
        <w:pStyle w:val="5"/>
      </w:pPr>
      <w:r>
        <w:t>Список литературы</w:t>
      </w:r>
    </w:p>
    <w:p w14:paraId="081D423C" w14:textId="23857F74" w:rsidR="005011EF" w:rsidRDefault="00472997" w:rsidP="00B65FDD">
      <w:pPr>
        <w:pStyle w:val="10"/>
        <w:rPr>
          <w:lang w:val="en-US"/>
        </w:rPr>
      </w:pPr>
      <w:r>
        <w:rPr>
          <w:lang w:val="en-US"/>
        </w:rPr>
        <w:t xml:space="preserve">A.N. </w:t>
      </w:r>
      <w:proofErr w:type="spellStart"/>
      <w:r>
        <w:rPr>
          <w:lang w:val="en-US"/>
        </w:rPr>
        <w:t>Volkov</w:t>
      </w:r>
      <w:proofErr w:type="spellEnd"/>
      <w:r>
        <w:rPr>
          <w:lang w:val="en-US"/>
        </w:rPr>
        <w:t xml:space="preserve">, A.S. </w:t>
      </w:r>
      <w:proofErr w:type="spellStart"/>
      <w:r>
        <w:rPr>
          <w:lang w:val="en-US"/>
        </w:rPr>
        <w:t>Muthanna</w:t>
      </w:r>
      <w:proofErr w:type="spellEnd"/>
      <w:r>
        <w:rPr>
          <w:lang w:val="en-US"/>
        </w:rPr>
        <w:t xml:space="preserve">, and A.E. </w:t>
      </w:r>
      <w:proofErr w:type="spellStart"/>
      <w:r>
        <w:rPr>
          <w:lang w:val="en-US"/>
        </w:rPr>
        <w:t>Koucheryavy</w:t>
      </w:r>
      <w:proofErr w:type="spellEnd"/>
      <w:r>
        <w:rPr>
          <w:lang w:val="en-US"/>
        </w:rPr>
        <w:t>,</w:t>
      </w:r>
      <w:r w:rsidR="00B65FDD">
        <w:t xml:space="preserve"> </w:t>
      </w:r>
      <w:r>
        <w:rPr>
          <w:lang w:val="en-US"/>
        </w:rPr>
        <w:t>“Communication networks of the fifth generation: on the way to networks 2030,”</w:t>
      </w:r>
      <w:r>
        <w:rPr>
          <w:lang w:val="vi-VN"/>
        </w:rPr>
        <w:t xml:space="preserve"> </w:t>
      </w:r>
      <w:r>
        <w:rPr>
          <w:lang w:val="en-US"/>
        </w:rPr>
        <w:t>Information Technologies and Telecommunications, vol. 78, no. 2, pp. 32–43, 2020.</w:t>
      </w:r>
    </w:p>
    <w:p w14:paraId="2E09ED53" w14:textId="07AD37A3" w:rsidR="005011EF" w:rsidRDefault="00472997" w:rsidP="00B65FDD">
      <w:pPr>
        <w:pStyle w:val="10"/>
        <w:rPr>
          <w:lang w:val="en-US"/>
        </w:rPr>
      </w:pPr>
      <w:r>
        <w:rPr>
          <w:lang w:val="en-US"/>
        </w:rPr>
        <w:t>ITU-R,</w:t>
      </w:r>
      <w:r>
        <w:rPr>
          <w:lang w:val="vi-VN"/>
        </w:rPr>
        <w:t xml:space="preserve"> </w:t>
      </w:r>
      <w:r>
        <w:rPr>
          <w:lang w:val="en-US"/>
        </w:rPr>
        <w:t>“Framework and overall objectives of the future development of IMT for 2030 and beyond,”</w:t>
      </w:r>
      <w:r w:rsidR="00B65FDD">
        <w:rPr>
          <w:lang w:val="en-US"/>
        </w:rPr>
        <w:t xml:space="preserve"> </w:t>
      </w:r>
      <w:r>
        <w:rPr>
          <w:lang w:val="en-US"/>
        </w:rPr>
        <w:t>Recommendation ITU-R M.2160, Geneva, Switzerland, 2023.</w:t>
      </w:r>
    </w:p>
    <w:p w14:paraId="3C58D124" w14:textId="21536519" w:rsidR="005011EF" w:rsidRDefault="00472997" w:rsidP="00B65FDD">
      <w:pPr>
        <w:pStyle w:val="10"/>
        <w:rPr>
          <w:lang w:val="en-US"/>
        </w:rPr>
      </w:pPr>
      <w:r>
        <w:rPr>
          <w:lang w:val="en-US"/>
        </w:rPr>
        <w:t>ITU-T,</w:t>
      </w:r>
      <w:r>
        <w:rPr>
          <w:lang w:val="vi-VN"/>
        </w:rPr>
        <w:t xml:space="preserve"> </w:t>
      </w:r>
      <w:r>
        <w:rPr>
          <w:lang w:val="en-US"/>
        </w:rPr>
        <w:t>“Architectural framework for machine learning in future networks including IMT-2020,”</w:t>
      </w:r>
      <w:r w:rsidR="00B65FDD">
        <w:t xml:space="preserve"> </w:t>
      </w:r>
      <w:r>
        <w:rPr>
          <w:lang w:val="en-US"/>
        </w:rPr>
        <w:t>Recommendation ITU-T Y.3172, Geneva, Switzerland, 2019.</w:t>
      </w:r>
    </w:p>
    <w:p w14:paraId="365C2C5E" w14:textId="77777777" w:rsidR="005011EF" w:rsidRDefault="00472997" w:rsidP="00B65FDD">
      <w:pPr>
        <w:pStyle w:val="10"/>
        <w:rPr>
          <w:lang w:val="en-US"/>
        </w:rPr>
      </w:pPr>
      <w:r>
        <w:rPr>
          <w:lang w:val="en-US"/>
        </w:rPr>
        <w:t>ITU-T,</w:t>
      </w:r>
      <w:r>
        <w:rPr>
          <w:lang w:val="vi-VN"/>
        </w:rPr>
        <w:t xml:space="preserve"> </w:t>
      </w:r>
      <w:r>
        <w:rPr>
          <w:lang w:val="en-US"/>
        </w:rPr>
        <w:t>“Cloud computing – Functional requirements of Network as a Service,”</w:t>
      </w:r>
      <w:r>
        <w:rPr>
          <w:lang w:val="vi-VN"/>
        </w:rPr>
        <w:t xml:space="preserve"> </w:t>
      </w:r>
      <w:r>
        <w:rPr>
          <w:lang w:val="en-US"/>
        </w:rPr>
        <w:t>Recommendation ITU-T Y.3513, Geneva, Switzerland, 2016.</w:t>
      </w:r>
    </w:p>
    <w:p w14:paraId="091EE745" w14:textId="786652DE" w:rsidR="005011EF" w:rsidRDefault="00472997" w:rsidP="00B65FDD">
      <w:pPr>
        <w:pStyle w:val="10"/>
        <w:rPr>
          <w:lang w:val="en-US"/>
        </w:rPr>
      </w:pPr>
      <w:r>
        <w:rPr>
          <w:lang w:val="en-US"/>
        </w:rPr>
        <w:t>ITU-T,</w:t>
      </w:r>
      <w:r>
        <w:rPr>
          <w:lang w:val="vi-VN"/>
        </w:rPr>
        <w:t xml:space="preserve"> </w:t>
      </w:r>
      <w:r>
        <w:rPr>
          <w:lang w:val="en-US"/>
        </w:rPr>
        <w:t>“Framework for Autonomous Networks,”</w:t>
      </w:r>
      <w:r w:rsidR="00B65FDD">
        <w:t xml:space="preserve"> </w:t>
      </w:r>
      <w:r>
        <w:rPr>
          <w:lang w:val="en-US"/>
        </w:rPr>
        <w:t>Recommendation ITU-T Y.3061, Geneva, Switzerland, 2023.</w:t>
      </w:r>
    </w:p>
    <w:p w14:paraId="07E1E769" w14:textId="77777777" w:rsidR="005011EF" w:rsidRPr="00B65FDD" w:rsidRDefault="00472997" w:rsidP="00B65FDD">
      <w:pPr>
        <w:pStyle w:val="10"/>
        <w:rPr>
          <w:spacing w:val="-2"/>
          <w:lang w:val="en-US"/>
        </w:rPr>
      </w:pPr>
      <w:proofErr w:type="spellStart"/>
      <w:r w:rsidRPr="00B65FDD">
        <w:rPr>
          <w:color w:val="222222"/>
          <w:spacing w:val="-2"/>
          <w:shd w:val="clear" w:color="auto" w:fill="FFFFFF"/>
          <w:lang w:val="en-US"/>
        </w:rPr>
        <w:t>Bonomi</w:t>
      </w:r>
      <w:proofErr w:type="spellEnd"/>
      <w:r w:rsidRPr="00B65FDD">
        <w:rPr>
          <w:color w:val="222222"/>
          <w:spacing w:val="-2"/>
          <w:shd w:val="clear" w:color="auto" w:fill="FFFFFF"/>
          <w:lang w:val="en-US"/>
        </w:rPr>
        <w:t xml:space="preserve">, F., </w:t>
      </w:r>
      <w:proofErr w:type="spellStart"/>
      <w:r w:rsidRPr="00B65FDD">
        <w:rPr>
          <w:color w:val="222222"/>
          <w:spacing w:val="-2"/>
          <w:shd w:val="clear" w:color="auto" w:fill="FFFFFF"/>
          <w:lang w:val="en-US"/>
        </w:rPr>
        <w:t>Milito</w:t>
      </w:r>
      <w:proofErr w:type="spellEnd"/>
      <w:r w:rsidRPr="00B65FDD">
        <w:rPr>
          <w:color w:val="222222"/>
          <w:spacing w:val="-2"/>
          <w:shd w:val="clear" w:color="auto" w:fill="FFFFFF"/>
          <w:lang w:val="en-US"/>
        </w:rPr>
        <w:t xml:space="preserve">, R., Zhu, J., &amp; </w:t>
      </w:r>
      <w:proofErr w:type="spellStart"/>
      <w:r w:rsidRPr="00B65FDD">
        <w:rPr>
          <w:color w:val="222222"/>
          <w:spacing w:val="-2"/>
          <w:shd w:val="clear" w:color="auto" w:fill="FFFFFF"/>
          <w:lang w:val="en-US"/>
        </w:rPr>
        <w:t>Addepalli</w:t>
      </w:r>
      <w:proofErr w:type="spellEnd"/>
      <w:r w:rsidRPr="00B65FDD">
        <w:rPr>
          <w:color w:val="222222"/>
          <w:spacing w:val="-2"/>
          <w:shd w:val="clear" w:color="auto" w:fill="FFFFFF"/>
          <w:lang w:val="en-US"/>
        </w:rPr>
        <w:t>, S. (2012, August). Fog computing and its role in the internet of things. In </w:t>
      </w:r>
      <w:r w:rsidRPr="00B65FDD">
        <w:rPr>
          <w:i/>
          <w:iCs/>
          <w:color w:val="222222"/>
          <w:spacing w:val="-2"/>
          <w:shd w:val="clear" w:color="auto" w:fill="FFFFFF"/>
          <w:lang w:val="en-US"/>
        </w:rPr>
        <w:t>Proceedings of the first edition of the MCC workshop on Mobile cloud computing</w:t>
      </w:r>
      <w:r w:rsidRPr="00B65FDD">
        <w:rPr>
          <w:color w:val="222222"/>
          <w:spacing w:val="-2"/>
          <w:shd w:val="clear" w:color="auto" w:fill="FFFFFF"/>
          <w:lang w:val="en-US"/>
        </w:rPr>
        <w:t> (pp. 13-16)</w:t>
      </w:r>
      <w:r w:rsidRPr="00B65FDD">
        <w:rPr>
          <w:spacing w:val="-2"/>
          <w:lang w:val="en-US"/>
        </w:rPr>
        <w:t>.</w:t>
      </w:r>
    </w:p>
    <w:p w14:paraId="1A627DB0" w14:textId="1939BB47" w:rsidR="005011EF" w:rsidRDefault="00472997" w:rsidP="00B65FDD">
      <w:pPr>
        <w:pStyle w:val="10"/>
        <w:rPr>
          <w:lang w:val="en-US"/>
        </w:rPr>
      </w:pPr>
      <w:r>
        <w:rPr>
          <w:lang w:val="en-US"/>
        </w:rPr>
        <w:t xml:space="preserve">D. V. </w:t>
      </w:r>
      <w:proofErr w:type="spellStart"/>
      <w:r>
        <w:rPr>
          <w:lang w:val="en-US"/>
        </w:rPr>
        <w:t>Thang</w:t>
      </w:r>
      <w:proofErr w:type="spellEnd"/>
      <w:r>
        <w:rPr>
          <w:lang w:val="en-US"/>
        </w:rPr>
        <w:t xml:space="preserve">, A. </w:t>
      </w:r>
      <w:proofErr w:type="spellStart"/>
      <w:r>
        <w:rPr>
          <w:lang w:val="en-US"/>
        </w:rPr>
        <w:t>Volkov</w:t>
      </w:r>
      <w:proofErr w:type="spellEnd"/>
      <w:r>
        <w:rPr>
          <w:lang w:val="en-US"/>
        </w:rPr>
        <w:t xml:space="preserve">, A. </w:t>
      </w:r>
      <w:proofErr w:type="spellStart"/>
      <w:r>
        <w:rPr>
          <w:lang w:val="en-US"/>
        </w:rPr>
        <w:t>Muthanna</w:t>
      </w:r>
      <w:proofErr w:type="spellEnd"/>
      <w:r>
        <w:rPr>
          <w:lang w:val="en-US"/>
        </w:rPr>
        <w:t xml:space="preserve">, A. </w:t>
      </w:r>
      <w:proofErr w:type="spellStart"/>
      <w:r>
        <w:rPr>
          <w:lang w:val="en-US"/>
        </w:rPr>
        <w:t>Koucheryavy</w:t>
      </w:r>
      <w:proofErr w:type="spellEnd"/>
      <w:r>
        <w:rPr>
          <w:lang w:val="en-US"/>
        </w:rPr>
        <w:t xml:space="preserve">, A. A. </w:t>
      </w:r>
      <w:proofErr w:type="spellStart"/>
      <w:r>
        <w:rPr>
          <w:lang w:val="en-US"/>
        </w:rPr>
        <w:t>Ateya</w:t>
      </w:r>
      <w:proofErr w:type="spellEnd"/>
      <w:r>
        <w:rPr>
          <w:lang w:val="en-US"/>
        </w:rPr>
        <w:t xml:space="preserve"> et al.,</w:t>
      </w:r>
      <w:r>
        <w:rPr>
          <w:lang w:val="vi-VN"/>
        </w:rPr>
        <w:t xml:space="preserve"> </w:t>
      </w:r>
      <w:r>
        <w:rPr>
          <w:lang w:val="en-US"/>
        </w:rPr>
        <w:t xml:space="preserve">“Future of </w:t>
      </w:r>
      <w:proofErr w:type="spellStart"/>
      <w:r>
        <w:rPr>
          <w:lang w:val="en-US"/>
        </w:rPr>
        <w:t>telepresence</w:t>
      </w:r>
      <w:proofErr w:type="spellEnd"/>
      <w:r>
        <w:rPr>
          <w:lang w:val="en-US"/>
        </w:rPr>
        <w:t xml:space="preserve"> services in the evolving fog computing environment: A survey on research and use cases,”</w:t>
      </w:r>
      <w:r w:rsidR="00B65FDD">
        <w:t xml:space="preserve"> </w:t>
      </w:r>
      <w:r>
        <w:rPr>
          <w:lang w:val="en-US"/>
        </w:rPr>
        <w:t>Sensors, vol. 25, no. 11, 2025.</w:t>
      </w:r>
    </w:p>
    <w:p w14:paraId="32C49068" w14:textId="77777777" w:rsidR="005011EF" w:rsidRDefault="00472997" w:rsidP="00B65FDD">
      <w:pPr>
        <w:pStyle w:val="10"/>
        <w:rPr>
          <w:lang w:val="en-US"/>
        </w:rPr>
      </w:pPr>
      <w:r>
        <w:rPr>
          <w:color w:val="222222"/>
          <w:shd w:val="clear" w:color="auto" w:fill="FFFFFF"/>
          <w:lang w:val="en-US"/>
        </w:rPr>
        <w:t xml:space="preserve">McMahan, B., Moore, E., </w:t>
      </w:r>
      <w:proofErr w:type="spellStart"/>
      <w:r>
        <w:rPr>
          <w:color w:val="222222"/>
          <w:shd w:val="clear" w:color="auto" w:fill="FFFFFF"/>
          <w:lang w:val="en-US"/>
        </w:rPr>
        <w:t>Ramage</w:t>
      </w:r>
      <w:proofErr w:type="spellEnd"/>
      <w:r>
        <w:rPr>
          <w:color w:val="222222"/>
          <w:shd w:val="clear" w:color="auto" w:fill="FFFFFF"/>
          <w:lang w:val="en-US"/>
        </w:rPr>
        <w:t xml:space="preserve">, D., </w:t>
      </w:r>
      <w:proofErr w:type="spellStart"/>
      <w:r>
        <w:rPr>
          <w:color w:val="222222"/>
          <w:shd w:val="clear" w:color="auto" w:fill="FFFFFF"/>
          <w:lang w:val="en-US"/>
        </w:rPr>
        <w:t>Hampson</w:t>
      </w:r>
      <w:proofErr w:type="spellEnd"/>
      <w:r>
        <w:rPr>
          <w:color w:val="222222"/>
          <w:shd w:val="clear" w:color="auto" w:fill="FFFFFF"/>
          <w:lang w:val="en-US"/>
        </w:rPr>
        <w:t xml:space="preserve">, S., &amp; y </w:t>
      </w:r>
      <w:proofErr w:type="spellStart"/>
      <w:r>
        <w:rPr>
          <w:color w:val="222222"/>
          <w:shd w:val="clear" w:color="auto" w:fill="FFFFFF"/>
          <w:lang w:val="en-US"/>
        </w:rPr>
        <w:t>Arcas</w:t>
      </w:r>
      <w:proofErr w:type="spellEnd"/>
      <w:r>
        <w:rPr>
          <w:color w:val="222222"/>
          <w:shd w:val="clear" w:color="auto" w:fill="FFFFFF"/>
          <w:lang w:val="en-US"/>
        </w:rPr>
        <w:t>, B. A. (2017, April). Communication-efficient learning of deep networks from decentralized data. In </w:t>
      </w:r>
      <w:r>
        <w:rPr>
          <w:i/>
          <w:iCs/>
          <w:color w:val="222222"/>
          <w:shd w:val="clear" w:color="auto" w:fill="FFFFFF"/>
          <w:lang w:val="en-US"/>
        </w:rPr>
        <w:t xml:space="preserve">Artificial intelligence and statistics </w:t>
      </w:r>
      <w:r>
        <w:rPr>
          <w:i/>
          <w:iCs/>
          <w:color w:val="222222"/>
          <w:shd w:val="clear" w:color="auto" w:fill="FFFFFF"/>
          <w:lang w:val="en-US" w:eastAsia="zh-CN"/>
        </w:rPr>
        <w:t>Fort Lauderdale, 20-22 April 2017</w:t>
      </w:r>
      <w:r>
        <w:rPr>
          <w:color w:val="222222"/>
          <w:shd w:val="clear" w:color="auto" w:fill="FFFFFF"/>
          <w:lang w:val="en-US"/>
        </w:rPr>
        <w:t xml:space="preserve"> (pp. 1273-1282). </w:t>
      </w:r>
      <w:proofErr w:type="spellStart"/>
      <w:r>
        <w:rPr>
          <w:color w:val="222222"/>
          <w:shd w:val="clear" w:color="auto" w:fill="FFFFFF"/>
        </w:rPr>
        <w:t>Pmlr</w:t>
      </w:r>
      <w:proofErr w:type="spellEnd"/>
      <w:r>
        <w:rPr>
          <w:lang w:val="en-US"/>
        </w:rPr>
        <w:t>.</w:t>
      </w:r>
    </w:p>
    <w:p w14:paraId="611133D9" w14:textId="6BB04690" w:rsidR="005011EF" w:rsidRDefault="00472997" w:rsidP="00B65FDD">
      <w:pPr>
        <w:pStyle w:val="10"/>
        <w:rPr>
          <w:lang w:val="en-US"/>
        </w:rPr>
      </w:pPr>
      <w:r>
        <w:rPr>
          <w:color w:val="222222"/>
          <w:shd w:val="clear" w:color="auto" w:fill="FFFFFF"/>
          <w:lang w:val="en-US"/>
        </w:rPr>
        <w:t xml:space="preserve">Li, T., </w:t>
      </w:r>
      <w:proofErr w:type="spellStart"/>
      <w:r>
        <w:rPr>
          <w:color w:val="222222"/>
          <w:shd w:val="clear" w:color="auto" w:fill="FFFFFF"/>
          <w:lang w:val="en-US"/>
        </w:rPr>
        <w:t>Sahu</w:t>
      </w:r>
      <w:proofErr w:type="spellEnd"/>
      <w:r>
        <w:rPr>
          <w:color w:val="222222"/>
          <w:shd w:val="clear" w:color="auto" w:fill="FFFFFF"/>
          <w:lang w:val="en-US"/>
        </w:rPr>
        <w:t xml:space="preserve">, A. K., </w:t>
      </w:r>
      <w:proofErr w:type="spellStart"/>
      <w:r>
        <w:rPr>
          <w:color w:val="222222"/>
          <w:shd w:val="clear" w:color="auto" w:fill="FFFFFF"/>
          <w:lang w:val="en-US"/>
        </w:rPr>
        <w:t>Talwalkar</w:t>
      </w:r>
      <w:proofErr w:type="spellEnd"/>
      <w:r>
        <w:rPr>
          <w:color w:val="222222"/>
          <w:shd w:val="clear" w:color="auto" w:fill="FFFFFF"/>
          <w:lang w:val="en-US"/>
        </w:rPr>
        <w:t>, A., &amp; Smith, V. (2020). Federated learning: Challenges, methods, and future directions. </w:t>
      </w:r>
      <w:r>
        <w:rPr>
          <w:i/>
          <w:iCs/>
          <w:color w:val="222222"/>
          <w:shd w:val="clear" w:color="auto" w:fill="FFFFFF"/>
        </w:rPr>
        <w:t xml:space="preserve">IEEE </w:t>
      </w:r>
      <w:proofErr w:type="spellStart"/>
      <w:r>
        <w:rPr>
          <w:i/>
          <w:iCs/>
          <w:color w:val="222222"/>
          <w:shd w:val="clear" w:color="auto" w:fill="FFFFFF"/>
        </w:rPr>
        <w:t>signal</w:t>
      </w:r>
      <w:proofErr w:type="spellEnd"/>
      <w:r>
        <w:rPr>
          <w:i/>
          <w:iCs/>
          <w:color w:val="222222"/>
          <w:shd w:val="clear" w:color="auto" w:fill="FFFFFF"/>
        </w:rPr>
        <w:t xml:space="preserve"> </w:t>
      </w:r>
      <w:proofErr w:type="spellStart"/>
      <w:r>
        <w:rPr>
          <w:i/>
          <w:iCs/>
          <w:color w:val="222222"/>
          <w:shd w:val="clear" w:color="auto" w:fill="FFFFFF"/>
        </w:rPr>
        <w:t>processing</w:t>
      </w:r>
      <w:proofErr w:type="spellEnd"/>
      <w:r>
        <w:rPr>
          <w:i/>
          <w:iCs/>
          <w:color w:val="222222"/>
          <w:shd w:val="clear" w:color="auto" w:fill="FFFFFF"/>
        </w:rPr>
        <w:t xml:space="preserve"> </w:t>
      </w:r>
      <w:proofErr w:type="spellStart"/>
      <w:r>
        <w:rPr>
          <w:i/>
          <w:iCs/>
          <w:color w:val="222222"/>
          <w:shd w:val="clear" w:color="auto" w:fill="FFFFFF"/>
        </w:rPr>
        <w:t>magazine</w:t>
      </w:r>
      <w:proofErr w:type="spellEnd"/>
      <w:r>
        <w:rPr>
          <w:color w:val="222222"/>
          <w:shd w:val="clear" w:color="auto" w:fill="FFFFFF"/>
        </w:rPr>
        <w:t>, </w:t>
      </w:r>
      <w:r>
        <w:rPr>
          <w:i/>
          <w:iCs/>
          <w:color w:val="222222"/>
          <w:shd w:val="clear" w:color="auto" w:fill="FFFFFF"/>
        </w:rPr>
        <w:t>37</w:t>
      </w:r>
      <w:r>
        <w:rPr>
          <w:color w:val="222222"/>
          <w:shd w:val="clear" w:color="auto" w:fill="FFFFFF"/>
        </w:rPr>
        <w:t>(3), 50-60.</w:t>
      </w:r>
    </w:p>
    <w:p w14:paraId="1810CE82" w14:textId="518B650B" w:rsidR="005011EF" w:rsidRDefault="00472997" w:rsidP="00B65FDD">
      <w:pPr>
        <w:pStyle w:val="10"/>
        <w:rPr>
          <w:lang w:val="en-US"/>
        </w:rPr>
      </w:pPr>
      <w:r>
        <w:rPr>
          <w:lang w:val="vi-VN" w:eastAsia="zh-CN"/>
        </w:rPr>
        <w:t>S.</w:t>
      </w:r>
      <w:r w:rsidR="00B65FDD">
        <w:rPr>
          <w:lang w:val="vi-VN" w:eastAsia="zh-CN"/>
        </w:rPr>
        <w:t xml:space="preserve"> Hosseinalipour, S.S. Azam, C.</w:t>
      </w:r>
      <w:r>
        <w:rPr>
          <w:lang w:val="vi-VN" w:eastAsia="zh-CN"/>
        </w:rPr>
        <w:t>G. Brinton</w:t>
      </w:r>
      <w:r w:rsidR="00B65FDD">
        <w:rPr>
          <w:lang w:val="vi-VN" w:eastAsia="zh-CN"/>
        </w:rPr>
        <w:t>, N. Michelusi, V.</w:t>
      </w:r>
      <w:r w:rsidR="00B65FDD">
        <w:rPr>
          <w:lang w:eastAsia="zh-CN"/>
        </w:rPr>
        <w:t> </w:t>
      </w:r>
      <w:r w:rsidR="00B65FDD">
        <w:rPr>
          <w:lang w:val="vi-VN" w:eastAsia="zh-CN"/>
        </w:rPr>
        <w:t>Aggarwal, D.</w:t>
      </w:r>
      <w:r>
        <w:rPr>
          <w:lang w:val="vi-VN" w:eastAsia="zh-CN"/>
        </w:rPr>
        <w:t>J. Love, and H. Dai, ‘‘Multi-stage hybrid federated learning over large-scale D2D-enabled fog networks,’’ IEEE/ACM Trans. Netw., vol. 30, no. 4, pp. 1569–1584, Aug. 2022, doi: 10.1109/TNET.2022. 3143495</w:t>
      </w:r>
    </w:p>
    <w:p w14:paraId="3B254860" w14:textId="6859A13C" w:rsidR="005011EF" w:rsidRDefault="00472997" w:rsidP="00B65FDD">
      <w:pPr>
        <w:pStyle w:val="10"/>
        <w:rPr>
          <w:lang w:val="en-US"/>
        </w:rPr>
        <w:sectPr w:rsidR="005011EF">
          <w:type w:val="continuous"/>
          <w:pgSz w:w="11906" w:h="16838"/>
          <w:pgMar w:top="907" w:right="907" w:bottom="1440" w:left="907" w:header="709" w:footer="709" w:gutter="0"/>
          <w:cols w:num="2" w:space="340"/>
          <w:docGrid w:linePitch="360"/>
        </w:sectPr>
      </w:pPr>
      <w:proofErr w:type="spellStart"/>
      <w:r>
        <w:rPr>
          <w:lang w:val="en-US"/>
        </w:rPr>
        <w:t>Sirohi</w:t>
      </w:r>
      <w:proofErr w:type="spellEnd"/>
      <w:r>
        <w:rPr>
          <w:lang w:val="en-US"/>
        </w:rPr>
        <w:t xml:space="preserve">, D., Kumar, N., </w:t>
      </w:r>
      <w:proofErr w:type="spellStart"/>
      <w:r>
        <w:rPr>
          <w:lang w:val="en-US"/>
        </w:rPr>
        <w:t>Rana</w:t>
      </w:r>
      <w:proofErr w:type="spellEnd"/>
      <w:r>
        <w:rPr>
          <w:lang w:val="en-US"/>
        </w:rPr>
        <w:t xml:space="preserve">, P.S. et al. Federated learning for 6G-enabled secure communication systems: a comprehensive survey. </w:t>
      </w:r>
      <w:proofErr w:type="spellStart"/>
      <w:r>
        <w:rPr>
          <w:lang w:val="en-US"/>
        </w:rPr>
        <w:t>Artif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Intell</w:t>
      </w:r>
      <w:proofErr w:type="spellEnd"/>
      <w:r>
        <w:rPr>
          <w:lang w:val="en-US"/>
        </w:rPr>
        <w:t xml:space="preserve"> Rev 56, 11297–11389 (2023). https://doi.org/10.1007/s10462-023-10417-3</w:t>
      </w:r>
    </w:p>
    <w:p w14:paraId="20565A14" w14:textId="77777777" w:rsidR="005011EF" w:rsidRPr="00B65FDD" w:rsidRDefault="005011EF" w:rsidP="00B65FDD">
      <w:pPr>
        <w:spacing w:line="120" w:lineRule="auto"/>
        <w:rPr>
          <w:rFonts w:eastAsia="MS Mincho"/>
          <w:sz w:val="4"/>
          <w:szCs w:val="4"/>
          <w:lang w:val="en-US"/>
        </w:rPr>
      </w:pPr>
    </w:p>
    <w:sectPr w:rsidR="005011EF" w:rsidRPr="00B65FDD">
      <w:type w:val="continuous"/>
      <w:pgSz w:w="11906" w:h="16838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F98803" w14:textId="77777777" w:rsidR="005117BA" w:rsidRDefault="005117BA" w:rsidP="002C7582">
      <w:r>
        <w:separator/>
      </w:r>
    </w:p>
  </w:endnote>
  <w:endnote w:type="continuationSeparator" w:id="0">
    <w:p w14:paraId="694A7880" w14:textId="77777777" w:rsidR="005117BA" w:rsidRDefault="005117BA" w:rsidP="002C7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6962396"/>
      <w:docPartObj>
        <w:docPartGallery w:val="Page Numbers (Bottom of Page)"/>
        <w:docPartUnique/>
      </w:docPartObj>
    </w:sdtPr>
    <w:sdtContent>
      <w:p w14:paraId="02F2DB81" w14:textId="36B46884" w:rsidR="002C7582" w:rsidRDefault="002C7582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186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2DDD00" w14:textId="77777777" w:rsidR="005117BA" w:rsidRDefault="005117BA" w:rsidP="002C7582">
      <w:r>
        <w:separator/>
      </w:r>
    </w:p>
  </w:footnote>
  <w:footnote w:type="continuationSeparator" w:id="0">
    <w:p w14:paraId="30C53862" w14:textId="77777777" w:rsidR="005117BA" w:rsidRDefault="005117BA" w:rsidP="002C7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61B5A"/>
    <w:multiLevelType w:val="multilevel"/>
    <w:tmpl w:val="16961B5A"/>
    <w:lvl w:ilvl="0">
      <w:start w:val="1"/>
      <w:numFmt w:val="decimal"/>
      <w:lvlText w:val="[%1]"/>
      <w:lvlJc w:val="left"/>
      <w:pPr>
        <w:ind w:left="990" w:hanging="360"/>
      </w:pPr>
      <w:rPr>
        <w:i w:val="0"/>
        <w:sz w:val="16"/>
        <w:szCs w:val="16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2C29633A"/>
    <w:multiLevelType w:val="multilevel"/>
    <w:tmpl w:val="2C29633A"/>
    <w:lvl w:ilvl="0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>
    <w:nsid w:val="37CC5E57"/>
    <w:multiLevelType w:val="multilevel"/>
    <w:tmpl w:val="37CC5E57"/>
    <w:lvl w:ilvl="0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9603E"/>
    <w:multiLevelType w:val="multilevel"/>
    <w:tmpl w:val="4189603E"/>
    <w:lvl w:ilvl="0">
      <w:start w:val="1"/>
      <w:numFmt w:val="upperRoman"/>
      <w:pStyle w:val="1"/>
      <w:lvlText w:val="%1."/>
      <w:lvlJc w:val="center"/>
      <w:pPr>
        <w:tabs>
          <w:tab w:val="left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upperLetter"/>
      <w:pStyle w:val="2"/>
      <w:lvlText w:val="%2."/>
      <w:lvlJc w:val="left"/>
      <w:pPr>
        <w:tabs>
          <w:tab w:val="left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3"/>
      <w:lvlText w:val="%3)"/>
      <w:lvlJc w:val="left"/>
      <w:pPr>
        <w:tabs>
          <w:tab w:val="left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lowerLetter"/>
      <w:pStyle w:val="4"/>
      <w:lvlText w:val="%4)"/>
      <w:lvlJc w:val="left"/>
      <w:pPr>
        <w:tabs>
          <w:tab w:val="left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left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left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left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left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left" w:pos="6120"/>
        </w:tabs>
        <w:ind w:left="5760"/>
      </w:pPr>
      <w:rPr>
        <w:rFonts w:cs="Times New Roman" w:hint="default"/>
      </w:rPr>
    </w:lvl>
  </w:abstractNum>
  <w:abstractNum w:abstractNumId="4">
    <w:nsid w:val="4B9563FD"/>
    <w:multiLevelType w:val="multilevel"/>
    <w:tmpl w:val="4B9563FD"/>
    <w:lvl w:ilvl="0">
      <w:start w:val="1"/>
      <w:numFmt w:val="decimal"/>
      <w:pStyle w:val="1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951F90"/>
    <w:multiLevelType w:val="multilevel"/>
    <w:tmpl w:val="72951F90"/>
    <w:lvl w:ilvl="0">
      <w:start w:val="1"/>
      <w:numFmt w:val="upperRoman"/>
      <w:pStyle w:val="a0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vertAlign w:val="baseline"/>
        <w14:shadow w14:blurRad="0" w14:dist="0" w14:dir="0" w14:sx="0" w14:sy="0" w14:kx="0" w14:ky="0" w14:algn="none">
          <w14:srgbClr w14:val="000000"/>
        </w14:shadow>
        <w14:ligatures w14:val="none"/>
        <w14:numForm w14:val="default"/>
        <w14:numSpacing w14:val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consecutiveHyphenLimit w:val="1"/>
  <w:hyphenationZone w:val="142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9FFC2B50"/>
    <w:rsid w:val="B37E455C"/>
    <w:rsid w:val="BEDFB1B4"/>
    <w:rsid w:val="CD4A8682"/>
    <w:rsid w:val="DDBD5060"/>
    <w:rsid w:val="DFFFA7F1"/>
    <w:rsid w:val="EEFE7309"/>
    <w:rsid w:val="FAB74D1D"/>
    <w:rsid w:val="FB57B4CC"/>
    <w:rsid w:val="FF9FF3D6"/>
    <w:rsid w:val="FFFBEE9C"/>
    <w:rsid w:val="FFFF17ED"/>
    <w:rsid w:val="00052062"/>
    <w:rsid w:val="0013123C"/>
    <w:rsid w:val="0014598F"/>
    <w:rsid w:val="00201E01"/>
    <w:rsid w:val="00252F87"/>
    <w:rsid w:val="002A55AF"/>
    <w:rsid w:val="002C7582"/>
    <w:rsid w:val="002D540B"/>
    <w:rsid w:val="003378F6"/>
    <w:rsid w:val="00373376"/>
    <w:rsid w:val="003915FB"/>
    <w:rsid w:val="003D785D"/>
    <w:rsid w:val="004165FC"/>
    <w:rsid w:val="00420452"/>
    <w:rsid w:val="00472997"/>
    <w:rsid w:val="0047652D"/>
    <w:rsid w:val="004A6BCA"/>
    <w:rsid w:val="004B14C2"/>
    <w:rsid w:val="004C40DB"/>
    <w:rsid w:val="004D7E92"/>
    <w:rsid w:val="005011EF"/>
    <w:rsid w:val="00502710"/>
    <w:rsid w:val="005117BA"/>
    <w:rsid w:val="00535924"/>
    <w:rsid w:val="00540CA6"/>
    <w:rsid w:val="005630E7"/>
    <w:rsid w:val="005963D0"/>
    <w:rsid w:val="006D605D"/>
    <w:rsid w:val="00711520"/>
    <w:rsid w:val="0071573A"/>
    <w:rsid w:val="007316B2"/>
    <w:rsid w:val="00744698"/>
    <w:rsid w:val="00791CA2"/>
    <w:rsid w:val="007B1F10"/>
    <w:rsid w:val="007B6A69"/>
    <w:rsid w:val="0087270B"/>
    <w:rsid w:val="00875998"/>
    <w:rsid w:val="008834FE"/>
    <w:rsid w:val="008C64AA"/>
    <w:rsid w:val="00901612"/>
    <w:rsid w:val="009022DA"/>
    <w:rsid w:val="00940220"/>
    <w:rsid w:val="009F446D"/>
    <w:rsid w:val="00A25034"/>
    <w:rsid w:val="00AC08AA"/>
    <w:rsid w:val="00AE6C42"/>
    <w:rsid w:val="00AF069A"/>
    <w:rsid w:val="00B65FDD"/>
    <w:rsid w:val="00B77B07"/>
    <w:rsid w:val="00BD2BC3"/>
    <w:rsid w:val="00C903D0"/>
    <w:rsid w:val="00C9188D"/>
    <w:rsid w:val="00CC6D5A"/>
    <w:rsid w:val="00D80951"/>
    <w:rsid w:val="00DA480C"/>
    <w:rsid w:val="00E148A7"/>
    <w:rsid w:val="00E152C5"/>
    <w:rsid w:val="00E81351"/>
    <w:rsid w:val="00EC44A2"/>
    <w:rsid w:val="00F05068"/>
    <w:rsid w:val="00F074EC"/>
    <w:rsid w:val="00F20F9D"/>
    <w:rsid w:val="05DA4F21"/>
    <w:rsid w:val="3E7DBB3B"/>
    <w:rsid w:val="3F5FB41E"/>
    <w:rsid w:val="3FB6DE11"/>
    <w:rsid w:val="5BF36939"/>
    <w:rsid w:val="753F46D1"/>
    <w:rsid w:val="7BD7E9A8"/>
    <w:rsid w:val="7FB8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1" w:unhideWhenUsed="0"/>
    <w:lsdException w:name="heading 4" w:uiPriority="1" w:unhideWhenUsed="0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/>
    <w:lsdException w:name="Subtitle" w:uiPriority="11"/>
    <w:lsdException w:name="Hyperlink" w:semiHidden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uppressAutoHyphens/>
    </w:pPr>
    <w:rPr>
      <w:rFonts w:eastAsia="Times New Roman"/>
      <w:lang w:eastAsia="en-US"/>
    </w:rPr>
  </w:style>
  <w:style w:type="paragraph" w:styleId="1">
    <w:name w:val="heading 1"/>
    <w:basedOn w:val="a1"/>
    <w:next w:val="a2"/>
    <w:link w:val="11"/>
    <w:qFormat/>
    <w:pPr>
      <w:keepNext/>
      <w:keepLines/>
      <w:numPr>
        <w:numId w:val="1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</w:rPr>
  </w:style>
  <w:style w:type="paragraph" w:styleId="2">
    <w:name w:val="heading 2"/>
    <w:basedOn w:val="a1"/>
    <w:next w:val="a1"/>
    <w:link w:val="20"/>
    <w:qFormat/>
    <w:pPr>
      <w:keepNext/>
      <w:keepLines/>
      <w:numPr>
        <w:ilvl w:val="1"/>
        <w:numId w:val="1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1"/>
    <w:next w:val="a1"/>
    <w:link w:val="30"/>
    <w:uiPriority w:val="1"/>
    <w:semiHidden/>
    <w:pPr>
      <w:numPr>
        <w:ilvl w:val="2"/>
        <w:numId w:val="1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1"/>
    <w:next w:val="a1"/>
    <w:link w:val="40"/>
    <w:uiPriority w:val="1"/>
    <w:semiHidden/>
    <w:pPr>
      <w:numPr>
        <w:ilvl w:val="3"/>
        <w:numId w:val="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1"/>
    <w:next w:val="a1"/>
    <w:link w:val="50"/>
    <w:qFormat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1"/>
    <w:next w:val="a1"/>
    <w:link w:val="60"/>
    <w:uiPriority w:val="9"/>
    <w:semiHidden/>
    <w:unhideWhenUsed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link w:val="a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7">
    <w:name w:val="Hyperlink"/>
    <w:basedOn w:val="a3"/>
    <w:uiPriority w:val="99"/>
    <w:unhideWhenUsed/>
    <w:rPr>
      <w:color w:val="0000FF" w:themeColor="hyperlink"/>
      <w:u w:val="single"/>
    </w:rPr>
  </w:style>
  <w:style w:type="table" w:styleId="a8">
    <w:name w:val="Table Grid"/>
    <w:basedOn w:val="a4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1"/>
    <w:next w:val="a1"/>
    <w:link w:val="aa"/>
    <w:qFormat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a">
    <w:name w:val="Название Знак"/>
    <w:basedOn w:val="a3"/>
    <w:link w:val="a9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6">
    <w:name w:val="Основной текст Знак"/>
    <w:link w:val="a2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b">
    <w:name w:val="Авторы"/>
    <w:basedOn w:val="a1"/>
    <w:next w:val="ac"/>
    <w:qFormat/>
    <w:pPr>
      <w:spacing w:before="240" w:after="120"/>
      <w:jc w:val="center"/>
    </w:pPr>
    <w:rPr>
      <w:sz w:val="24"/>
    </w:rPr>
  </w:style>
  <w:style w:type="paragraph" w:customStyle="1" w:styleId="ac">
    <w:name w:val="Организация"/>
    <w:basedOn w:val="a1"/>
    <w:qFormat/>
    <w:pPr>
      <w:spacing w:after="120"/>
      <w:jc w:val="center"/>
    </w:pPr>
    <w:rPr>
      <w:i/>
    </w:rPr>
  </w:style>
  <w:style w:type="paragraph" w:customStyle="1" w:styleId="ad">
    <w:name w:val="Мэйл"/>
    <w:basedOn w:val="a1"/>
    <w:qFormat/>
    <w:rsid w:val="00B65FDD"/>
    <w:pPr>
      <w:jc w:val="center"/>
    </w:pPr>
    <w:rPr>
      <w:lang w:val="en-US"/>
    </w:rPr>
  </w:style>
  <w:style w:type="paragraph" w:customStyle="1" w:styleId="ae">
    <w:name w:val="Аннотация"/>
    <w:basedOn w:val="ac"/>
    <w:qFormat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20">
    <w:name w:val="Заголовок 2 Знак"/>
    <w:basedOn w:val="a3"/>
    <w:link w:val="2"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basedOn w:val="a3"/>
    <w:link w:val="3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basedOn w:val="a3"/>
    <w:link w:val="4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basedOn w:val="a3"/>
    <w:link w:val="5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paragraph" w:customStyle="1" w:styleId="af">
    <w:name w:val="Ключевые слова"/>
    <w:basedOn w:val="a1"/>
    <w:next w:val="1"/>
    <w:qFormat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3"/>
    <w:link w:val="6"/>
    <w:uiPriority w:val="9"/>
    <w:semiHidden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0">
    <w:name w:val="Финансирование"/>
    <w:basedOn w:val="a1"/>
    <w:qFormat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2"/>
    <w:next w:val="a2"/>
    <w:qFormat/>
    <w:pPr>
      <w:numPr>
        <w:numId w:val="2"/>
      </w:numPr>
      <w:spacing w:after="60"/>
      <w:ind w:left="578" w:hanging="289"/>
    </w:pPr>
  </w:style>
  <w:style w:type="paragraph" w:customStyle="1" w:styleId="a">
    <w:name w:val="Название рисунка"/>
    <w:basedOn w:val="a1"/>
    <w:qFormat/>
    <w:pPr>
      <w:numPr>
        <w:numId w:val="3"/>
      </w:numPr>
      <w:tabs>
        <w:tab w:val="left" w:pos="289"/>
      </w:tabs>
      <w:spacing w:before="120" w:after="200"/>
    </w:pPr>
    <w:rPr>
      <w:sz w:val="16"/>
    </w:rPr>
  </w:style>
  <w:style w:type="paragraph" w:customStyle="1" w:styleId="a0">
    <w:name w:val="Таблица"/>
    <w:basedOn w:val="a1"/>
    <w:next w:val="a1"/>
    <w:qFormat/>
    <w:pPr>
      <w:numPr>
        <w:numId w:val="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paragraph" w:customStyle="1" w:styleId="af1">
    <w:name w:val="Строка таблицы"/>
    <w:basedOn w:val="a1"/>
    <w:qFormat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2"/>
    <w:next w:val="a1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sz w:val="22"/>
      <w:szCs w:val="22"/>
      <w:lang w:val="en-US" w:eastAsia="en-US"/>
    </w:rPr>
  </w:style>
  <w:style w:type="paragraph" w:styleId="af2">
    <w:name w:val="List Paragraph"/>
    <w:basedOn w:val="a1"/>
    <w:uiPriority w:val="34"/>
    <w:pPr>
      <w:ind w:left="720"/>
      <w:contextualSpacing/>
    </w:pPr>
  </w:style>
  <w:style w:type="character" w:customStyle="1" w:styleId="12">
    <w:name w:val="Неразрешенное упоминание1"/>
    <w:basedOn w:val="a3"/>
    <w:uiPriority w:val="99"/>
    <w:semiHidden/>
    <w:unhideWhenUsed/>
    <w:rPr>
      <w:color w:val="605E5C"/>
      <w:shd w:val="clear" w:color="auto" w:fill="E1DFDD"/>
    </w:rPr>
  </w:style>
  <w:style w:type="paragraph" w:styleId="af3">
    <w:name w:val="header"/>
    <w:basedOn w:val="a1"/>
    <w:link w:val="af4"/>
    <w:unhideWhenUsed/>
    <w:rsid w:val="002C758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3"/>
    <w:link w:val="af3"/>
    <w:rsid w:val="002C7582"/>
    <w:rPr>
      <w:rFonts w:eastAsia="Times New Roman"/>
      <w:lang w:eastAsia="en-US"/>
    </w:rPr>
  </w:style>
  <w:style w:type="paragraph" w:styleId="af5">
    <w:name w:val="footer"/>
    <w:basedOn w:val="a1"/>
    <w:link w:val="af6"/>
    <w:uiPriority w:val="99"/>
    <w:unhideWhenUsed/>
    <w:rsid w:val="002C7582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3"/>
    <w:link w:val="af5"/>
    <w:uiPriority w:val="99"/>
    <w:rsid w:val="002C7582"/>
    <w:rPr>
      <w:rFonts w:eastAsia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1" w:unhideWhenUsed="0"/>
    <w:lsdException w:name="heading 4" w:uiPriority="1" w:unhideWhenUsed="0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/>
    <w:lsdException w:name="Subtitle" w:uiPriority="11"/>
    <w:lsdException w:name="Hyperlink" w:semiHidden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uppressAutoHyphens/>
    </w:pPr>
    <w:rPr>
      <w:rFonts w:eastAsia="Times New Roman"/>
      <w:lang w:eastAsia="en-US"/>
    </w:rPr>
  </w:style>
  <w:style w:type="paragraph" w:styleId="1">
    <w:name w:val="heading 1"/>
    <w:basedOn w:val="a1"/>
    <w:next w:val="a2"/>
    <w:link w:val="11"/>
    <w:qFormat/>
    <w:pPr>
      <w:keepNext/>
      <w:keepLines/>
      <w:numPr>
        <w:numId w:val="1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</w:rPr>
  </w:style>
  <w:style w:type="paragraph" w:styleId="2">
    <w:name w:val="heading 2"/>
    <w:basedOn w:val="a1"/>
    <w:next w:val="a1"/>
    <w:link w:val="20"/>
    <w:qFormat/>
    <w:pPr>
      <w:keepNext/>
      <w:keepLines/>
      <w:numPr>
        <w:ilvl w:val="1"/>
        <w:numId w:val="1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1"/>
    <w:next w:val="a1"/>
    <w:link w:val="30"/>
    <w:uiPriority w:val="1"/>
    <w:semiHidden/>
    <w:pPr>
      <w:numPr>
        <w:ilvl w:val="2"/>
        <w:numId w:val="1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1"/>
    <w:next w:val="a1"/>
    <w:link w:val="40"/>
    <w:uiPriority w:val="1"/>
    <w:semiHidden/>
    <w:pPr>
      <w:numPr>
        <w:ilvl w:val="3"/>
        <w:numId w:val="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1"/>
    <w:next w:val="a1"/>
    <w:link w:val="50"/>
    <w:qFormat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1"/>
    <w:next w:val="a1"/>
    <w:link w:val="60"/>
    <w:uiPriority w:val="9"/>
    <w:semiHidden/>
    <w:unhideWhenUsed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link w:val="a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7">
    <w:name w:val="Hyperlink"/>
    <w:basedOn w:val="a3"/>
    <w:uiPriority w:val="99"/>
    <w:unhideWhenUsed/>
    <w:rPr>
      <w:color w:val="0000FF" w:themeColor="hyperlink"/>
      <w:u w:val="single"/>
    </w:rPr>
  </w:style>
  <w:style w:type="table" w:styleId="a8">
    <w:name w:val="Table Grid"/>
    <w:basedOn w:val="a4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1"/>
    <w:next w:val="a1"/>
    <w:link w:val="aa"/>
    <w:qFormat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a">
    <w:name w:val="Название Знак"/>
    <w:basedOn w:val="a3"/>
    <w:link w:val="a9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6">
    <w:name w:val="Основной текст Знак"/>
    <w:link w:val="a2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b">
    <w:name w:val="Авторы"/>
    <w:basedOn w:val="a1"/>
    <w:next w:val="ac"/>
    <w:qFormat/>
    <w:pPr>
      <w:spacing w:before="240" w:after="120"/>
      <w:jc w:val="center"/>
    </w:pPr>
    <w:rPr>
      <w:sz w:val="24"/>
    </w:rPr>
  </w:style>
  <w:style w:type="paragraph" w:customStyle="1" w:styleId="ac">
    <w:name w:val="Организация"/>
    <w:basedOn w:val="a1"/>
    <w:qFormat/>
    <w:pPr>
      <w:spacing w:after="120"/>
      <w:jc w:val="center"/>
    </w:pPr>
    <w:rPr>
      <w:i/>
    </w:rPr>
  </w:style>
  <w:style w:type="paragraph" w:customStyle="1" w:styleId="ad">
    <w:name w:val="Мэйл"/>
    <w:basedOn w:val="a1"/>
    <w:qFormat/>
    <w:rsid w:val="00B65FDD"/>
    <w:pPr>
      <w:jc w:val="center"/>
    </w:pPr>
    <w:rPr>
      <w:lang w:val="en-US"/>
    </w:rPr>
  </w:style>
  <w:style w:type="paragraph" w:customStyle="1" w:styleId="ae">
    <w:name w:val="Аннотация"/>
    <w:basedOn w:val="ac"/>
    <w:qFormat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20">
    <w:name w:val="Заголовок 2 Знак"/>
    <w:basedOn w:val="a3"/>
    <w:link w:val="2"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basedOn w:val="a3"/>
    <w:link w:val="3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basedOn w:val="a3"/>
    <w:link w:val="4"/>
    <w:uiPriority w:val="1"/>
    <w:semiHidden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basedOn w:val="a3"/>
    <w:link w:val="5"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paragraph" w:customStyle="1" w:styleId="af">
    <w:name w:val="Ключевые слова"/>
    <w:basedOn w:val="a1"/>
    <w:next w:val="1"/>
    <w:qFormat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3"/>
    <w:link w:val="6"/>
    <w:uiPriority w:val="9"/>
    <w:semiHidden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0">
    <w:name w:val="Финансирование"/>
    <w:basedOn w:val="a1"/>
    <w:qFormat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2"/>
    <w:next w:val="a2"/>
    <w:qFormat/>
    <w:pPr>
      <w:numPr>
        <w:numId w:val="2"/>
      </w:numPr>
      <w:spacing w:after="60"/>
      <w:ind w:left="578" w:hanging="289"/>
    </w:pPr>
  </w:style>
  <w:style w:type="paragraph" w:customStyle="1" w:styleId="a">
    <w:name w:val="Название рисунка"/>
    <w:basedOn w:val="a1"/>
    <w:qFormat/>
    <w:pPr>
      <w:numPr>
        <w:numId w:val="3"/>
      </w:numPr>
      <w:tabs>
        <w:tab w:val="left" w:pos="289"/>
      </w:tabs>
      <w:spacing w:before="120" w:after="200"/>
    </w:pPr>
    <w:rPr>
      <w:sz w:val="16"/>
    </w:rPr>
  </w:style>
  <w:style w:type="paragraph" w:customStyle="1" w:styleId="a0">
    <w:name w:val="Таблица"/>
    <w:basedOn w:val="a1"/>
    <w:next w:val="a1"/>
    <w:qFormat/>
    <w:pPr>
      <w:numPr>
        <w:numId w:val="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paragraph" w:customStyle="1" w:styleId="af1">
    <w:name w:val="Строка таблицы"/>
    <w:basedOn w:val="a1"/>
    <w:qFormat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2"/>
    <w:next w:val="a1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sz w:val="22"/>
      <w:szCs w:val="22"/>
      <w:lang w:val="en-US" w:eastAsia="en-US"/>
    </w:rPr>
  </w:style>
  <w:style w:type="paragraph" w:styleId="af2">
    <w:name w:val="List Paragraph"/>
    <w:basedOn w:val="a1"/>
    <w:uiPriority w:val="34"/>
    <w:pPr>
      <w:ind w:left="720"/>
      <w:contextualSpacing/>
    </w:pPr>
  </w:style>
  <w:style w:type="character" w:customStyle="1" w:styleId="12">
    <w:name w:val="Неразрешенное упоминание1"/>
    <w:basedOn w:val="a3"/>
    <w:uiPriority w:val="99"/>
    <w:semiHidden/>
    <w:unhideWhenUsed/>
    <w:rPr>
      <w:color w:val="605E5C"/>
      <w:shd w:val="clear" w:color="auto" w:fill="E1DFDD"/>
    </w:rPr>
  </w:style>
  <w:style w:type="paragraph" w:styleId="af3">
    <w:name w:val="header"/>
    <w:basedOn w:val="a1"/>
    <w:link w:val="af4"/>
    <w:unhideWhenUsed/>
    <w:rsid w:val="002C7582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3"/>
    <w:link w:val="af3"/>
    <w:rsid w:val="002C7582"/>
    <w:rPr>
      <w:rFonts w:eastAsia="Times New Roman"/>
      <w:lang w:eastAsia="en-US"/>
    </w:rPr>
  </w:style>
  <w:style w:type="paragraph" w:styleId="af5">
    <w:name w:val="footer"/>
    <w:basedOn w:val="a1"/>
    <w:link w:val="af6"/>
    <w:uiPriority w:val="99"/>
    <w:unhideWhenUsed/>
    <w:rsid w:val="002C7582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3"/>
    <w:link w:val="af5"/>
    <w:uiPriority w:val="99"/>
    <w:rsid w:val="002C7582"/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2438</Words>
  <Characters>13897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2026-04-16T11:00:00Z</dcterms:created>
  <dcterms:modified xsi:type="dcterms:W3CDTF">2026-04-16T11:00:00Z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803A551D134EB8C9C428B56982E05CE8_43</vt:lpwstr>
  </property>
</Properties>
</file>