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AB3214" w14:textId="77777777" w:rsidR="00D80951" w:rsidRPr="00A65B42" w:rsidRDefault="00017B03" w:rsidP="00017B03">
      <w:pPr>
        <w:jc w:val="center"/>
        <w:rPr>
          <w:rFonts w:eastAsiaTheme="majorEastAsia" w:cstheme="majorBidi"/>
          <w:bCs/>
          <w:color w:val="000000" w:themeColor="text1"/>
          <w:kern w:val="28"/>
          <w:sz w:val="48"/>
          <w:szCs w:val="52"/>
        </w:rPr>
      </w:pPr>
      <w:r w:rsidRPr="00776A0F">
        <w:rPr>
          <w:rFonts w:eastAsiaTheme="majorEastAsia" w:cstheme="majorBidi"/>
          <w:bCs/>
          <w:color w:val="000000" w:themeColor="text1"/>
          <w:kern w:val="28"/>
          <w:sz w:val="48"/>
          <w:szCs w:val="52"/>
        </w:rPr>
        <w:t xml:space="preserve">Статистические параметры сигнала с однополосной модуляцией для оценки ЭМС </w:t>
      </w:r>
      <w:r w:rsidR="00E65334">
        <w:rPr>
          <w:rFonts w:eastAsiaTheme="majorEastAsia" w:cstheme="majorBidi"/>
          <w:bCs/>
          <w:color w:val="000000" w:themeColor="text1"/>
          <w:kern w:val="28"/>
          <w:sz w:val="48"/>
          <w:szCs w:val="52"/>
        </w:rPr>
        <w:br/>
      </w:r>
      <w:r w:rsidRPr="00776A0F">
        <w:rPr>
          <w:rFonts w:eastAsiaTheme="majorEastAsia" w:cstheme="majorBidi"/>
          <w:bCs/>
          <w:color w:val="000000" w:themeColor="text1"/>
          <w:kern w:val="28"/>
          <w:sz w:val="48"/>
          <w:szCs w:val="52"/>
        </w:rPr>
        <w:t>на береговом объекте МР А2 ГМССБ</w:t>
      </w:r>
    </w:p>
    <w:p w14:paraId="2BAD22A7" w14:textId="77777777" w:rsidR="00E65334" w:rsidRPr="00A65B42" w:rsidRDefault="00E65334" w:rsidP="00017B03">
      <w:pPr>
        <w:jc w:val="center"/>
        <w:sectPr w:rsidR="00E65334" w:rsidRPr="00A65B42" w:rsidSect="00A93346">
          <w:footerReference w:type="default" r:id="rId9"/>
          <w:pgSz w:w="11906" w:h="16838" w:code="9"/>
          <w:pgMar w:top="907" w:right="907" w:bottom="1440" w:left="907" w:header="709" w:footer="709" w:gutter="0"/>
          <w:pgNumType w:start="266"/>
          <w:cols w:space="708"/>
          <w:docGrid w:linePitch="360"/>
        </w:sectPr>
      </w:pPr>
    </w:p>
    <w:p w14:paraId="2C171E09" w14:textId="77777777" w:rsidR="0013123C" w:rsidRPr="00776A0F" w:rsidRDefault="00C824F8" w:rsidP="00E1713B">
      <w:pPr>
        <w:pStyle w:val="aa"/>
      </w:pPr>
      <w:r w:rsidRPr="00776A0F">
        <w:lastRenderedPageBreak/>
        <w:t>В.</w:t>
      </w:r>
      <w:r w:rsidR="00E65334" w:rsidRPr="00A65B42">
        <w:t xml:space="preserve"> </w:t>
      </w:r>
      <w:r w:rsidRPr="00776A0F">
        <w:t>В. Громоздин</w:t>
      </w:r>
      <w:r w:rsidRPr="00776A0F">
        <w:rPr>
          <w:vertAlign w:val="superscript"/>
        </w:rPr>
        <w:t>1</w:t>
      </w:r>
      <w:r w:rsidRPr="00776A0F">
        <w:t>, Т.</w:t>
      </w:r>
      <w:r w:rsidR="00E65334" w:rsidRPr="00A65B42">
        <w:t xml:space="preserve"> </w:t>
      </w:r>
      <w:r w:rsidRPr="00776A0F">
        <w:t>В. Новикова</w:t>
      </w:r>
      <w:r w:rsidR="003B689E" w:rsidRPr="00776A0F">
        <w:rPr>
          <w:vertAlign w:val="superscript"/>
        </w:rPr>
        <w:t>2</w:t>
      </w:r>
    </w:p>
    <w:p w14:paraId="1ABC487F" w14:textId="58A65D70" w:rsidR="003B689E" w:rsidRPr="00776A0F" w:rsidRDefault="003B689E" w:rsidP="00E1713B">
      <w:pPr>
        <w:pStyle w:val="ab"/>
        <w:rPr>
          <w:rFonts w:eastAsia="MS Mincho"/>
          <w:noProof/>
        </w:rPr>
      </w:pPr>
      <w:r w:rsidRPr="00776A0F">
        <w:rPr>
          <w:rFonts w:eastAsia="MS Mincho"/>
          <w:noProof/>
        </w:rPr>
        <w:t xml:space="preserve">Филиал НИЦ Телеком в г. Севастополе (ИЦ </w:t>
      </w:r>
      <w:r w:rsidR="00E65334">
        <w:rPr>
          <w:rFonts w:eastAsia="MS Mincho"/>
          <w:noProof/>
        </w:rPr>
        <w:t>«</w:t>
      </w:r>
      <w:r w:rsidRPr="00776A0F">
        <w:rPr>
          <w:rFonts w:eastAsia="MS Mincho"/>
          <w:noProof/>
        </w:rPr>
        <w:t>Омега</w:t>
      </w:r>
      <w:r w:rsidR="00E65334">
        <w:rPr>
          <w:rFonts w:eastAsia="MS Mincho"/>
          <w:noProof/>
        </w:rPr>
        <w:t>»</w:t>
      </w:r>
      <w:r w:rsidRPr="00776A0F">
        <w:rPr>
          <w:rFonts w:eastAsia="MS Mincho"/>
          <w:noProof/>
        </w:rPr>
        <w:t xml:space="preserve">), </w:t>
      </w:r>
      <w:r w:rsidR="00E1713B">
        <w:rPr>
          <w:rFonts w:eastAsia="MS Mincho"/>
          <w:noProof/>
        </w:rPr>
        <w:br/>
      </w:r>
      <w:r w:rsidRPr="00776A0F">
        <w:rPr>
          <w:rFonts w:eastAsia="MS Mincho"/>
          <w:noProof/>
        </w:rPr>
        <w:t xml:space="preserve">Севастопольский </w:t>
      </w:r>
      <w:r w:rsidR="0007206C" w:rsidRPr="00776A0F">
        <w:rPr>
          <w:rFonts w:eastAsia="MS Mincho"/>
          <w:noProof/>
        </w:rPr>
        <w:t xml:space="preserve">государственный университет </w:t>
      </w:r>
    </w:p>
    <w:p w14:paraId="4435E317" w14:textId="77777777" w:rsidR="009F446D" w:rsidRPr="00E1713B" w:rsidRDefault="0013123C" w:rsidP="00E1713B">
      <w:pPr>
        <w:pStyle w:val="ac"/>
        <w:spacing w:after="0"/>
      </w:pPr>
      <w:r w:rsidRPr="00776A0F">
        <w:rPr>
          <w:lang w:val="ru-RU"/>
        </w:rPr>
        <w:t>Е</w:t>
      </w:r>
      <w:r w:rsidRPr="00E1713B">
        <w:t>-</w:t>
      </w:r>
      <w:r w:rsidRPr="00776A0F">
        <w:t>mail</w:t>
      </w:r>
      <w:r w:rsidR="003B689E" w:rsidRPr="00E1713B">
        <w:rPr>
          <w:rFonts w:eastAsia="MS Mincho"/>
          <w:noProof/>
          <w:szCs w:val="22"/>
        </w:rPr>
        <w:t xml:space="preserve"> </w:t>
      </w:r>
      <w:hyperlink r:id="rId10" w:history="1">
        <w:r w:rsidR="003B689E" w:rsidRPr="00776A0F">
          <w:rPr>
            <w:rStyle w:val="af3"/>
            <w:color w:val="auto"/>
            <w:u w:val="none"/>
          </w:rPr>
          <w:t>gromozdinvv</w:t>
        </w:r>
        <w:r w:rsidR="003B689E" w:rsidRPr="00E1713B">
          <w:rPr>
            <w:rStyle w:val="af3"/>
            <w:color w:val="auto"/>
            <w:u w:val="none"/>
          </w:rPr>
          <w:t>@</w:t>
        </w:r>
        <w:r w:rsidR="003B689E" w:rsidRPr="00776A0F">
          <w:rPr>
            <w:rStyle w:val="af3"/>
            <w:color w:val="auto"/>
            <w:u w:val="none"/>
          </w:rPr>
          <w:t>nic</w:t>
        </w:r>
        <w:r w:rsidR="003B689E" w:rsidRPr="00E1713B">
          <w:rPr>
            <w:rStyle w:val="af3"/>
            <w:color w:val="auto"/>
            <w:u w:val="none"/>
          </w:rPr>
          <w:t>-</w:t>
        </w:r>
        <w:r w:rsidR="003B689E" w:rsidRPr="00776A0F">
          <w:rPr>
            <w:rStyle w:val="af3"/>
            <w:color w:val="auto"/>
            <w:u w:val="none"/>
          </w:rPr>
          <w:t>t</w:t>
        </w:r>
        <w:r w:rsidR="003B689E" w:rsidRPr="00E1713B">
          <w:rPr>
            <w:rStyle w:val="af3"/>
            <w:color w:val="auto"/>
            <w:u w:val="none"/>
          </w:rPr>
          <w:t>.</w:t>
        </w:r>
        <w:r w:rsidR="003B689E" w:rsidRPr="00776A0F">
          <w:rPr>
            <w:rStyle w:val="af3"/>
            <w:color w:val="auto"/>
            <w:u w:val="none"/>
          </w:rPr>
          <w:t>ru</w:t>
        </w:r>
        <w:r w:rsidR="003B689E" w:rsidRPr="00E1713B">
          <w:rPr>
            <w:rStyle w:val="af3"/>
            <w:color w:val="auto"/>
            <w:u w:val="none"/>
            <w:vertAlign w:val="superscript"/>
          </w:rPr>
          <w:t>1</w:t>
        </w:r>
      </w:hyperlink>
      <w:r w:rsidR="003B689E" w:rsidRPr="00E1713B">
        <w:t xml:space="preserve">, </w:t>
      </w:r>
      <w:hyperlink r:id="rId11" w:history="1">
        <w:r w:rsidR="003B689E" w:rsidRPr="00776A0F">
          <w:rPr>
            <w:rStyle w:val="af3"/>
            <w:color w:val="auto"/>
            <w:u w:val="none"/>
          </w:rPr>
          <w:t>novikovatv</w:t>
        </w:r>
        <w:r w:rsidR="003B689E" w:rsidRPr="00E1713B">
          <w:rPr>
            <w:rStyle w:val="af3"/>
            <w:color w:val="auto"/>
            <w:u w:val="none"/>
          </w:rPr>
          <w:t>@</w:t>
        </w:r>
        <w:r w:rsidR="003B689E" w:rsidRPr="00776A0F">
          <w:rPr>
            <w:rStyle w:val="af3"/>
            <w:color w:val="auto"/>
            <w:u w:val="none"/>
          </w:rPr>
          <w:t>nic</w:t>
        </w:r>
        <w:r w:rsidR="003B689E" w:rsidRPr="00E1713B">
          <w:rPr>
            <w:rStyle w:val="af3"/>
            <w:color w:val="auto"/>
            <w:u w:val="none"/>
          </w:rPr>
          <w:t>-</w:t>
        </w:r>
        <w:r w:rsidR="003B689E" w:rsidRPr="00776A0F">
          <w:rPr>
            <w:rStyle w:val="af3"/>
            <w:color w:val="auto"/>
            <w:u w:val="none"/>
          </w:rPr>
          <w:t>t</w:t>
        </w:r>
        <w:r w:rsidR="003B689E" w:rsidRPr="00E1713B">
          <w:rPr>
            <w:rStyle w:val="af3"/>
            <w:color w:val="auto"/>
            <w:u w:val="none"/>
          </w:rPr>
          <w:t>.</w:t>
        </w:r>
        <w:r w:rsidR="003B689E" w:rsidRPr="00776A0F">
          <w:rPr>
            <w:rStyle w:val="af3"/>
            <w:color w:val="auto"/>
            <w:u w:val="none"/>
          </w:rPr>
          <w:t>ru</w:t>
        </w:r>
      </w:hyperlink>
      <w:r w:rsidR="003B689E" w:rsidRPr="00E1713B">
        <w:rPr>
          <w:vertAlign w:val="superscript"/>
        </w:rPr>
        <w:t>2</w:t>
      </w:r>
    </w:p>
    <w:p w14:paraId="6255B09C" w14:textId="77777777" w:rsidR="00D80951" w:rsidRPr="00776A0F" w:rsidRDefault="009F446D" w:rsidP="00E1713B">
      <w:pPr>
        <w:pStyle w:val="aa"/>
      </w:pPr>
      <w:r w:rsidRPr="009C6A70">
        <w:br w:type="column"/>
      </w:r>
      <w:r w:rsidR="003B689E" w:rsidRPr="00776A0F">
        <w:lastRenderedPageBreak/>
        <w:t>В.</w:t>
      </w:r>
      <w:r w:rsidR="00E65334" w:rsidRPr="00A65B42">
        <w:t xml:space="preserve"> </w:t>
      </w:r>
      <w:r w:rsidR="003B689E" w:rsidRPr="00776A0F">
        <w:t>И. </w:t>
      </w:r>
      <w:r w:rsidR="003B689E" w:rsidRPr="00E1713B">
        <w:t>Коваленко3</w:t>
      </w:r>
      <w:r w:rsidR="003B689E" w:rsidRPr="00776A0F">
        <w:t>, П.</w:t>
      </w:r>
      <w:r w:rsidR="00E65334" w:rsidRPr="00A65B42">
        <w:t xml:space="preserve"> </w:t>
      </w:r>
      <w:r w:rsidR="003B689E" w:rsidRPr="00776A0F">
        <w:t>М. Коваленко</w:t>
      </w:r>
      <w:r w:rsidR="003B689E" w:rsidRPr="00776A0F">
        <w:rPr>
          <w:vertAlign w:val="superscript"/>
        </w:rPr>
        <w:t>4</w:t>
      </w:r>
    </w:p>
    <w:p w14:paraId="0C6546EA" w14:textId="77777777" w:rsidR="00D80951" w:rsidRPr="00E1713B" w:rsidRDefault="003B689E" w:rsidP="00E1713B">
      <w:pPr>
        <w:pStyle w:val="ab"/>
      </w:pPr>
      <w:r w:rsidRPr="00E1713B">
        <w:rPr>
          <w:rFonts w:eastAsia="MS Mincho"/>
        </w:rPr>
        <w:t xml:space="preserve">Филиал НИЦ Телеком в г. Севастополе (ИЦ </w:t>
      </w:r>
      <w:r w:rsidR="00E65334" w:rsidRPr="00E1713B">
        <w:rPr>
          <w:rFonts w:eastAsia="MS Mincho"/>
        </w:rPr>
        <w:t>«</w:t>
      </w:r>
      <w:r w:rsidRPr="00E1713B">
        <w:rPr>
          <w:rFonts w:eastAsia="MS Mincho"/>
        </w:rPr>
        <w:t>Омега</w:t>
      </w:r>
      <w:r w:rsidR="00E65334" w:rsidRPr="00E1713B">
        <w:rPr>
          <w:rFonts w:eastAsia="MS Mincho"/>
        </w:rPr>
        <w:t>»</w:t>
      </w:r>
      <w:r w:rsidRPr="00E1713B">
        <w:rPr>
          <w:rFonts w:eastAsia="MS Mincho"/>
        </w:rPr>
        <w:t>)</w:t>
      </w:r>
    </w:p>
    <w:p w14:paraId="245E2440" w14:textId="77777777" w:rsidR="00D80951" w:rsidRPr="00776A0F" w:rsidRDefault="00D80951" w:rsidP="00E1713B">
      <w:pPr>
        <w:pStyle w:val="ac"/>
        <w:spacing w:after="0"/>
        <w:jc w:val="both"/>
      </w:pPr>
      <w:r w:rsidRPr="00776A0F">
        <w:rPr>
          <w:lang w:val="ru-RU"/>
        </w:rPr>
        <w:t>Е</w:t>
      </w:r>
      <w:r w:rsidRPr="00776A0F">
        <w:t>-mail</w:t>
      </w:r>
      <w:r w:rsidR="003B689E" w:rsidRPr="00776A0F">
        <w:t>: kovalenkovi@nic-t.ru</w:t>
      </w:r>
      <w:r w:rsidR="003B689E" w:rsidRPr="00776A0F">
        <w:rPr>
          <w:vertAlign w:val="superscript"/>
        </w:rPr>
        <w:t>3</w:t>
      </w:r>
      <w:r w:rsidR="003B689E" w:rsidRPr="00776A0F">
        <w:t>, kovalenkopm@nic-t.ru</w:t>
      </w:r>
      <w:r w:rsidR="003B689E" w:rsidRPr="00776A0F">
        <w:rPr>
          <w:vertAlign w:val="superscript"/>
        </w:rPr>
        <w:t>4</w:t>
      </w:r>
    </w:p>
    <w:p w14:paraId="4AA1694A" w14:textId="77777777" w:rsidR="00D80951" w:rsidRPr="00776A0F" w:rsidRDefault="00D80951" w:rsidP="00D80951">
      <w:pPr>
        <w:pStyle w:val="ab"/>
        <w:rPr>
          <w:lang w:val="en-US"/>
        </w:rPr>
        <w:sectPr w:rsidR="00D80951" w:rsidRPr="00776A0F" w:rsidSect="00D80951">
          <w:type w:val="continuous"/>
          <w:pgSz w:w="11906" w:h="16838" w:code="9"/>
          <w:pgMar w:top="907" w:right="907" w:bottom="1440" w:left="907" w:header="709" w:footer="709" w:gutter="0"/>
          <w:cols w:num="2" w:space="708"/>
          <w:docGrid w:linePitch="360"/>
        </w:sectPr>
      </w:pPr>
    </w:p>
    <w:p w14:paraId="45965F7B" w14:textId="77777777" w:rsidR="00E65334" w:rsidRDefault="00E65334" w:rsidP="00E65334">
      <w:pPr>
        <w:rPr>
          <w:lang w:val="en-US"/>
        </w:rPr>
      </w:pPr>
    </w:p>
    <w:p w14:paraId="2D512502" w14:textId="77777777" w:rsidR="00E1713B" w:rsidRPr="00A65B42" w:rsidRDefault="00E1713B" w:rsidP="00E65334">
      <w:pPr>
        <w:rPr>
          <w:lang w:val="en-US"/>
        </w:rPr>
        <w:sectPr w:rsidR="00E1713B" w:rsidRPr="00A65B42" w:rsidSect="00E65334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1D059180" w14:textId="77777777" w:rsidR="0013123C" w:rsidRPr="00776A0F" w:rsidRDefault="0013123C" w:rsidP="00791CA2">
      <w:pPr>
        <w:pStyle w:val="ad"/>
        <w:rPr>
          <w:rFonts w:eastAsia="MS Mincho"/>
        </w:rPr>
      </w:pPr>
      <w:r w:rsidRPr="00776A0F">
        <w:rPr>
          <w:i/>
        </w:rPr>
        <w:lastRenderedPageBreak/>
        <w:t xml:space="preserve">Аннотация. </w:t>
      </w:r>
      <w:r w:rsidR="00017B03" w:rsidRPr="00776A0F">
        <w:rPr>
          <w:rFonts w:eastAsia="MS Mincho"/>
          <w:bCs/>
        </w:rPr>
        <w:t>В докладе рассматривается общий подход к оценке электромагнитной совместимости на береговом объекте морского района А2 глобальной морской системы связи при бедствии и результаты математического моделирования и экспериментальных измерений статистических параметров однополосного сигнала телефонии, являющегося помехой для приема сигналов цифрового избирательного вызова, при размещении приемной и передающей радиостанций на одном объекте.</w:t>
      </w:r>
      <w:r w:rsidRPr="00776A0F">
        <w:rPr>
          <w:rFonts w:eastAsia="MS Mincho"/>
        </w:rPr>
        <w:t xml:space="preserve"> </w:t>
      </w:r>
    </w:p>
    <w:p w14:paraId="79AB91D2" w14:textId="77777777" w:rsidR="0013123C" w:rsidRPr="00A65B42" w:rsidRDefault="0013123C" w:rsidP="0013123C">
      <w:pPr>
        <w:pStyle w:val="ae"/>
      </w:pPr>
      <w:r w:rsidRPr="00776A0F">
        <w:t xml:space="preserve">Ключевые слова: </w:t>
      </w:r>
      <w:r w:rsidR="002864A6">
        <w:rPr>
          <w:rFonts w:eastAsia="MS Mincho"/>
          <w:bCs/>
        </w:rPr>
        <w:t>м</w:t>
      </w:r>
      <w:r w:rsidR="00017B03" w:rsidRPr="00776A0F">
        <w:rPr>
          <w:rFonts w:eastAsia="MS Mincho"/>
          <w:bCs/>
        </w:rPr>
        <w:t xml:space="preserve">орской район </w:t>
      </w:r>
      <w:r w:rsidR="00017B03" w:rsidRPr="00776A0F">
        <w:rPr>
          <w:rFonts w:eastAsia="MS Mincho"/>
          <w:bCs/>
          <w:lang w:val="en-US"/>
        </w:rPr>
        <w:t>A</w:t>
      </w:r>
      <w:r w:rsidR="00017B03" w:rsidRPr="00776A0F">
        <w:rPr>
          <w:rFonts w:eastAsia="MS Mincho"/>
          <w:bCs/>
        </w:rPr>
        <w:t>2; глобальная морская система связи при бедствии; однополосная модуляция; цифровой избирательный вызов; среднеквадратическое отклонение; коэффициент шума; атмосферные шумы; граничная дальн</w:t>
      </w:r>
      <w:r w:rsidR="00E65334">
        <w:rPr>
          <w:rFonts w:eastAsia="MS Mincho"/>
          <w:bCs/>
        </w:rPr>
        <w:t>ость радиосвязи</w:t>
      </w:r>
    </w:p>
    <w:p w14:paraId="46061994" w14:textId="77777777" w:rsidR="00017B03" w:rsidRPr="00776A0F" w:rsidRDefault="00017B03" w:rsidP="00E65334">
      <w:pPr>
        <w:pStyle w:val="1"/>
      </w:pPr>
      <w:r w:rsidRPr="00776A0F">
        <w:t>Введение</w:t>
      </w:r>
    </w:p>
    <w:p w14:paraId="73101901" w14:textId="77777777" w:rsidR="00017B03" w:rsidRPr="00776A0F" w:rsidRDefault="00017B03" w:rsidP="00E1713B">
      <w:pPr>
        <w:pStyle w:val="a3"/>
      </w:pPr>
      <w:r w:rsidRPr="00776A0F">
        <w:t xml:space="preserve">Работа береговых и судовых станций систем связи для обеспечения безопасности мореплавания (СОБМ) проходит в условиях сложной электромагнитной обстановки (ЭМО), </w:t>
      </w:r>
      <w:r w:rsidRPr="00E65334">
        <w:t>что</w:t>
      </w:r>
      <w:r w:rsidRPr="00776A0F">
        <w:t xml:space="preserve"> обуславливается наличием внутренних шумов РПУ, внешних шумов и помех, вызванных работой промышленных объектов и передающих устройств (ПРДУ), </w:t>
      </w:r>
      <w:r w:rsidRPr="00E1713B">
        <w:t>расположенных</w:t>
      </w:r>
      <w:r w:rsidRPr="00776A0F">
        <w:t xml:space="preserve"> в непосредственной близости от антенн радиоприемных устройств (РПУ), а также судового радио- и электрооборудования. Указанная сложная ЭМО существенно снижает фактическую чувствительность РПУ и, соответственно, дальность радиосвязи, как в направлении берег-судно, так и в направлении судно-берег. Представленная ЭМО условно показана на</w:t>
      </w:r>
      <w:r w:rsidR="00491D60" w:rsidRPr="00776A0F">
        <w:t xml:space="preserve"> </w:t>
      </w:r>
      <w:r w:rsidR="00E65334">
        <w:t>р</w:t>
      </w:r>
      <w:r w:rsidR="00491D60" w:rsidRPr="00776A0F">
        <w:t>ис. 1</w:t>
      </w:r>
      <w:r w:rsidR="00D34AD9" w:rsidRPr="00776A0F">
        <w:t>.</w:t>
      </w:r>
    </w:p>
    <w:p w14:paraId="4B9C3E30" w14:textId="77777777" w:rsidR="00017B03" w:rsidRPr="00776A0F" w:rsidRDefault="00017B03" w:rsidP="00017B03">
      <w:pPr>
        <w:pStyle w:val="a3"/>
        <w:keepNext/>
        <w:ind w:firstLine="0"/>
        <w:jc w:val="center"/>
      </w:pPr>
      <w:r w:rsidRPr="00776A0F">
        <w:rPr>
          <w:rFonts w:ascii="Arial" w:eastAsia="Arial" w:hAnsi="Arial" w:cs="Arial"/>
          <w:noProof/>
          <w:lang w:eastAsia="ru-RU"/>
        </w:rPr>
        <w:drawing>
          <wp:inline distT="0" distB="0" distL="0" distR="0" wp14:anchorId="142ECC02" wp14:editId="62553680">
            <wp:extent cx="3081113" cy="1714500"/>
            <wp:effectExtent l="0" t="0" r="508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3302" cy="1726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A96F9" w14:textId="77777777" w:rsidR="00017B03" w:rsidRPr="00776A0F" w:rsidRDefault="00017B03" w:rsidP="00E65334">
      <w:pPr>
        <w:pStyle w:val="a"/>
      </w:pPr>
      <w:r w:rsidRPr="00E65334">
        <w:t>Составляющие</w:t>
      </w:r>
      <w:r w:rsidRPr="00776A0F">
        <w:t xml:space="preserve"> ЭМО на береговой станции</w:t>
      </w:r>
      <w:r w:rsidR="00A2722D" w:rsidRPr="00776A0F">
        <w:t xml:space="preserve"> МР А2 ГМССБ</w:t>
      </w:r>
    </w:p>
    <w:p w14:paraId="654E98A2" w14:textId="77777777" w:rsidR="00017B03" w:rsidRPr="00776A0F" w:rsidRDefault="00017B03" w:rsidP="00E65334">
      <w:pPr>
        <w:pStyle w:val="a3"/>
      </w:pPr>
      <w:r w:rsidRPr="00776A0F">
        <w:t>Трудность учета электромагнитных помех от близкорасположенных к береговой станции передающих устройств заключается в том, что максимальное значение коэффициента шума имеет в сезонный и суточный период времени, как правило</w:t>
      </w:r>
      <w:r w:rsidR="002864A6">
        <w:t>,</w:t>
      </w:r>
      <w:r w:rsidRPr="00776A0F">
        <w:t xml:space="preserve"> не совпада</w:t>
      </w:r>
      <w:bookmarkStart w:id="0" w:name="_GoBack"/>
      <w:bookmarkEnd w:id="0"/>
      <w:r w:rsidRPr="00776A0F">
        <w:t xml:space="preserve">ющий </w:t>
      </w:r>
      <w:r w:rsidRPr="00776A0F">
        <w:lastRenderedPageBreak/>
        <w:t>со временем проведения натурных испытаний. Для расчета максимального значение коэффициента шума необходимо определение всех составляющих шума, в том числе и составляющей, вызванной недостаточным обеспечением электромагнитной совместимости (ЭМС).</w:t>
      </w:r>
    </w:p>
    <w:p w14:paraId="13427850" w14:textId="1D65FFBD" w:rsidR="00A2722D" w:rsidRPr="00776A0F" w:rsidRDefault="00A2722D" w:rsidP="00E65334">
      <w:pPr>
        <w:pStyle w:val="a3"/>
      </w:pPr>
      <w:r w:rsidRPr="00776A0F">
        <w:t>Основными источниками помех при размещении приемной и передающей радиостанций на одном объекте являются ПРДУ телефонии и цифрового избирательного вызова (ЦИВ). Для статистически более точного расчета суммарного коэффициента шума и с</w:t>
      </w:r>
      <w:r w:rsidR="00503237" w:rsidRPr="00776A0F">
        <w:t xml:space="preserve">тандартного отклонения </w:t>
      </w:r>
      <w:r w:rsidRPr="00776A0F">
        <w:t xml:space="preserve">необходимо </w:t>
      </w:r>
      <w:r w:rsidR="00836A1E">
        <w:t>определение</w:t>
      </w:r>
      <w:r w:rsidR="00503237" w:rsidRPr="00776A0F">
        <w:t xml:space="preserve"> параметров </w:t>
      </w:r>
      <w:r w:rsidRPr="00776A0F">
        <w:t xml:space="preserve">всех составляющих шума </w:t>
      </w:r>
      <w:r w:rsidR="00676122" w:rsidRPr="00776A0F">
        <w:fldChar w:fldCharType="begin"/>
      </w:r>
      <w:r w:rsidR="00676122" w:rsidRPr="00776A0F">
        <w:instrText xml:space="preserve"> REF _Ref222929745 \r \h </w:instrText>
      </w:r>
      <w:r w:rsidR="00776A0F">
        <w:instrText xml:space="preserve"> \* MERGEFORMAT </w:instrText>
      </w:r>
      <w:r w:rsidR="00676122" w:rsidRPr="00776A0F">
        <w:fldChar w:fldCharType="separate"/>
      </w:r>
      <w:r w:rsidR="0085701D">
        <w:t>[1]</w:t>
      </w:r>
      <w:r w:rsidR="00676122" w:rsidRPr="00776A0F">
        <w:fldChar w:fldCharType="end"/>
      </w:r>
      <w:r w:rsidR="00676122" w:rsidRPr="00776A0F">
        <w:fldChar w:fldCharType="begin"/>
      </w:r>
      <w:r w:rsidR="00676122" w:rsidRPr="00776A0F">
        <w:instrText xml:space="preserve"> REF _Ref222929756 \r \h </w:instrText>
      </w:r>
      <w:r w:rsidR="00776A0F">
        <w:instrText xml:space="preserve"> \* MERGEFORMAT </w:instrText>
      </w:r>
      <w:r w:rsidR="00676122" w:rsidRPr="00776A0F">
        <w:fldChar w:fldCharType="separate"/>
      </w:r>
      <w:r w:rsidR="0085701D">
        <w:t>[2]</w:t>
      </w:r>
      <w:r w:rsidR="00676122" w:rsidRPr="00776A0F">
        <w:fldChar w:fldCharType="end"/>
      </w:r>
      <w:r w:rsidRPr="00776A0F">
        <w:t>, в качестве одной из которых (кроме атмосферной, галактической и промышленной) входят помехи от ПРДУ телефонии и ЦИВ. Суммарный коэффициент шума при этом о</w:t>
      </w:r>
      <w:r w:rsidR="00676122" w:rsidRPr="00776A0F">
        <w:t xml:space="preserve">пределяется в </w:t>
      </w:r>
      <w:r w:rsidR="00676122" w:rsidRPr="00E65334">
        <w:t>соответствии</w:t>
      </w:r>
      <w:r w:rsidR="00676122" w:rsidRPr="00776A0F">
        <w:t xml:space="preserve"> с </w:t>
      </w:r>
      <w:r w:rsidR="00676122" w:rsidRPr="00776A0F">
        <w:fldChar w:fldCharType="begin"/>
      </w:r>
      <w:r w:rsidR="00676122" w:rsidRPr="00776A0F">
        <w:instrText xml:space="preserve"> REF _Ref222929765 \r \h </w:instrText>
      </w:r>
      <w:r w:rsidR="00776A0F">
        <w:instrText xml:space="preserve"> \* MERGEFORMAT </w:instrText>
      </w:r>
      <w:r w:rsidR="00676122" w:rsidRPr="00776A0F">
        <w:fldChar w:fldCharType="separate"/>
      </w:r>
      <w:r w:rsidR="0085701D">
        <w:t>[3]</w:t>
      </w:r>
      <w:r w:rsidR="00676122" w:rsidRPr="00776A0F">
        <w:fldChar w:fldCharType="end"/>
      </w:r>
      <w:r w:rsidRPr="00776A0F">
        <w:t xml:space="preserve">. </w:t>
      </w:r>
    </w:p>
    <w:p w14:paraId="780E5965" w14:textId="5C6DF30B" w:rsidR="00A2722D" w:rsidRPr="00776A0F" w:rsidRDefault="00A2722D" w:rsidP="00E65334">
      <w:pPr>
        <w:pStyle w:val="a3"/>
      </w:pPr>
      <w:proofErr w:type="gramStart"/>
      <w:r w:rsidRPr="00776A0F">
        <w:t xml:space="preserve">Для помехи от ПРДУ ЦИВ значения </w:t>
      </w:r>
      <w:r w:rsidR="00503237" w:rsidRPr="00776A0F">
        <w:t>стандартного отклонения</w:t>
      </w:r>
      <w:r w:rsidRPr="00776A0F">
        <w:rPr>
          <w:szCs w:val="22"/>
          <w:lang w:eastAsia="ru-RU"/>
        </w:rPr>
        <w:t xml:space="preserve"> (</w:t>
      </w:r>
      <w:r w:rsidRPr="00776A0F">
        <w:rPr>
          <w:position w:val="-10"/>
          <w:szCs w:val="22"/>
          <w:lang w:eastAsia="ru-RU"/>
        </w:rPr>
        <w:object w:dxaOrig="620" w:dyaOrig="380" w14:anchorId="7A18BB2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.8pt;height:17.4pt" o:ole="">
            <v:imagedata r:id="rId14" o:title=""/>
          </v:shape>
          <o:OLEObject Type="Embed" ProgID="Equation.DSMT4" ShapeID="_x0000_i1025" DrawAspect="Content" ObjectID="_1837860682" r:id="rId15"/>
        </w:object>
      </w:r>
      <w:r w:rsidRPr="00776A0F">
        <w:rPr>
          <w:szCs w:val="22"/>
          <w:lang w:eastAsia="ru-RU"/>
        </w:rPr>
        <w:t xml:space="preserve">) </w:t>
      </w:r>
      <w:r w:rsidRPr="00776A0F">
        <w:t>и верхнего дециля (</w:t>
      </w:r>
      <w:r w:rsidRPr="00776A0F">
        <w:rPr>
          <w:position w:val="-14"/>
          <w:szCs w:val="22"/>
          <w:lang w:eastAsia="ru-RU"/>
        </w:rPr>
        <w:object w:dxaOrig="760" w:dyaOrig="420" w14:anchorId="21D14554">
          <v:shape id="_x0000_i1026" type="#_x0000_t75" style="width:39.6pt;height:19.8pt" o:ole="">
            <v:imagedata r:id="rId16" o:title=""/>
          </v:shape>
          <o:OLEObject Type="Embed" ProgID="Equation.DSMT4" ShapeID="_x0000_i1026" DrawAspect="Content" ObjectID="_1837860683" r:id="rId17"/>
        </w:object>
      </w:r>
      <w:r w:rsidRPr="00776A0F">
        <w:rPr>
          <w:szCs w:val="22"/>
          <w:lang w:eastAsia="ru-RU"/>
        </w:rPr>
        <w:t xml:space="preserve">) </w:t>
      </w:r>
      <w:r w:rsidRPr="00776A0F">
        <w:t>равны 0 дБ, что обусловлено отсутствием флуктуаций сигнала ЦИВ и в тестовом</w:t>
      </w:r>
      <w:r w:rsidR="00E1713B">
        <w:t>,</w:t>
      </w:r>
      <w:r w:rsidRPr="00776A0F">
        <w:t xml:space="preserve"> и в рабочем режимах.</w:t>
      </w:r>
      <w:proofErr w:type="gramEnd"/>
      <w:r w:rsidRPr="00776A0F">
        <w:t xml:space="preserve"> Для помех от ПРДУ телефонии необходимо </w:t>
      </w:r>
      <w:proofErr w:type="gramStart"/>
      <w:r w:rsidRPr="00776A0F">
        <w:t>предварительное</w:t>
      </w:r>
      <w:proofErr w:type="gramEnd"/>
      <w:r w:rsidRPr="00776A0F">
        <w:t xml:space="preserve"> определение </w:t>
      </w:r>
      <w:r w:rsidRPr="00776A0F">
        <w:rPr>
          <w:position w:val="-10"/>
          <w:szCs w:val="22"/>
          <w:lang w:eastAsia="ru-RU"/>
        </w:rPr>
        <w:object w:dxaOrig="620" w:dyaOrig="380" w14:anchorId="745D5FC9">
          <v:shape id="_x0000_i1027" type="#_x0000_t75" style="width:31.8pt;height:17.4pt" o:ole="">
            <v:imagedata r:id="rId18" o:title=""/>
          </v:shape>
          <o:OLEObject Type="Embed" ProgID="Equation.DSMT4" ShapeID="_x0000_i1027" DrawAspect="Content" ObjectID="_1837860684" r:id="rId19"/>
        </w:object>
      </w:r>
      <w:r w:rsidRPr="00776A0F">
        <w:t>и</w:t>
      </w:r>
      <w:r w:rsidRPr="00776A0F">
        <w:rPr>
          <w:position w:val="-14"/>
          <w:szCs w:val="22"/>
          <w:lang w:eastAsia="ru-RU"/>
        </w:rPr>
        <w:object w:dxaOrig="760" w:dyaOrig="420" w14:anchorId="3D308BAB">
          <v:shape id="_x0000_i1028" type="#_x0000_t75" style="width:39.6pt;height:19.8pt" o:ole="">
            <v:imagedata r:id="rId20" o:title=""/>
          </v:shape>
          <o:OLEObject Type="Embed" ProgID="Equation.DSMT4" ShapeID="_x0000_i1028" DrawAspect="Content" ObjectID="_1837860685" r:id="rId21"/>
        </w:object>
      </w:r>
      <w:r w:rsidR="00E65334">
        <w:rPr>
          <w:szCs w:val="22"/>
          <w:lang w:eastAsia="ru-RU"/>
        </w:rPr>
        <w:t xml:space="preserve"> </w:t>
      </w:r>
      <w:r w:rsidRPr="00776A0F">
        <w:t xml:space="preserve">в процессе проведения натурных испытаний путем измерения </w:t>
      </w:r>
      <w:proofErr w:type="gramStart"/>
      <w:r w:rsidRPr="00776A0F">
        <w:t>огибающей</w:t>
      </w:r>
      <w:proofErr w:type="gramEnd"/>
      <w:r w:rsidRPr="00776A0F">
        <w:t xml:space="preserve"> с последующим расчетом, что увеличивает трудоемкость таких испытаний. </w:t>
      </w:r>
    </w:p>
    <w:p w14:paraId="59886AB5" w14:textId="77777777" w:rsidR="00A2722D" w:rsidRPr="00776A0F" w:rsidRDefault="00A2722D" w:rsidP="00E65334">
      <w:pPr>
        <w:pStyle w:val="a3"/>
      </w:pPr>
      <w:r w:rsidRPr="00776A0F">
        <w:t xml:space="preserve">Целью работы является оценка </w:t>
      </w:r>
      <w:r w:rsidR="00503237" w:rsidRPr="00776A0F">
        <w:t>стандартного отклонения</w:t>
      </w:r>
      <w:r w:rsidRPr="00776A0F">
        <w:t xml:space="preserve"> и верхнего дециля помехи от ПРДУ телефонии берегового объекта морского района (МР) А2 глобальной морской системы связи при бедствии (ГМССБ) на основе математического моделирования и экспериментальных измерений.</w:t>
      </w:r>
    </w:p>
    <w:p w14:paraId="617274B3" w14:textId="77777777" w:rsidR="00A2722D" w:rsidRPr="00776A0F" w:rsidRDefault="00A2722D" w:rsidP="00E65334">
      <w:pPr>
        <w:pStyle w:val="1"/>
      </w:pPr>
      <w:r w:rsidRPr="00776A0F">
        <w:t>Объект исследований</w:t>
      </w:r>
    </w:p>
    <w:p w14:paraId="7EF3D3C9" w14:textId="77777777" w:rsidR="00A2722D" w:rsidRPr="00776A0F" w:rsidRDefault="00A2722D" w:rsidP="00E1713B">
      <w:pPr>
        <w:pStyle w:val="a3"/>
      </w:pPr>
      <w:r w:rsidRPr="00776A0F">
        <w:t xml:space="preserve">Объектом исследований является сигнал с однополосной </w:t>
      </w:r>
      <w:r w:rsidRPr="00E1713B">
        <w:t>модуляцией</w:t>
      </w:r>
      <w:r w:rsidRPr="00776A0F">
        <w:t xml:space="preserve"> (верхняя боковая полоса, класс излучения </w:t>
      </w:r>
      <w:r w:rsidRPr="00776A0F">
        <w:rPr>
          <w:lang w:val="en-US"/>
        </w:rPr>
        <w:t>J</w:t>
      </w:r>
      <w:r w:rsidRPr="00776A0F">
        <w:t>3</w:t>
      </w:r>
      <w:r w:rsidRPr="00776A0F">
        <w:rPr>
          <w:lang w:val="en-US"/>
        </w:rPr>
        <w:t>E</w:t>
      </w:r>
      <w:r w:rsidRPr="00776A0F">
        <w:t>)</w:t>
      </w:r>
      <w:r w:rsidRPr="00776A0F">
        <w:rPr>
          <w:bCs/>
        </w:rPr>
        <w:t>.</w:t>
      </w:r>
    </w:p>
    <w:p w14:paraId="6B10C146" w14:textId="6BE74023" w:rsidR="00A2722D" w:rsidRPr="00776A0F" w:rsidRDefault="00E1713B" w:rsidP="00E65334">
      <w:pPr>
        <w:pStyle w:val="1"/>
      </w:pPr>
      <w:r w:rsidRPr="00776A0F">
        <w:t xml:space="preserve">Моделирование </w:t>
      </w:r>
      <w:r w:rsidR="00DA48A4" w:rsidRPr="00776A0F">
        <w:t xml:space="preserve">и расчет параметров </w:t>
      </w:r>
      <w:r w:rsidR="00372C8E" w:rsidRPr="00776A0F">
        <w:t>однополосного сигнала</w:t>
      </w:r>
    </w:p>
    <w:p w14:paraId="7CD392FC" w14:textId="36770FE2" w:rsidR="00A2722D" w:rsidRPr="00776A0F" w:rsidRDefault="001A3032" w:rsidP="00E1713B">
      <w:pPr>
        <w:pStyle w:val="a3"/>
      </w:pPr>
      <w:r w:rsidRPr="00776A0F">
        <w:t>Процесс формирования однополосного излучения с верхней боковой полосой сопряжен с линейными и нелинейными преобразованиями сигнала, в т.</w:t>
      </w:r>
      <w:r w:rsidR="00E65334">
        <w:t> </w:t>
      </w:r>
      <w:r w:rsidRPr="00776A0F">
        <w:t xml:space="preserve">ч. с ограничением для повышения средней мощности излучения. </w:t>
      </w:r>
      <w:proofErr w:type="gramStart"/>
      <w:r w:rsidRPr="00776A0F">
        <w:t xml:space="preserve">В связи с этим оценка статистических свойств огибающей </w:t>
      </w:r>
      <w:r w:rsidRPr="00E1713B">
        <w:t>помехового</w:t>
      </w:r>
      <w:r w:rsidRPr="00776A0F">
        <w:t xml:space="preserve"> сигнала проведена моделированием фазового метода форми</w:t>
      </w:r>
      <w:r w:rsidR="00676122" w:rsidRPr="00776A0F">
        <w:t xml:space="preserve">рования SSB сигнала по схеме </w:t>
      </w:r>
      <w:r w:rsidR="00676122" w:rsidRPr="00776A0F">
        <w:fldChar w:fldCharType="begin"/>
      </w:r>
      <w:r w:rsidR="00676122" w:rsidRPr="00776A0F">
        <w:instrText xml:space="preserve"> REF _Ref222929781 \r \h </w:instrText>
      </w:r>
      <w:r w:rsidR="00776A0F">
        <w:instrText xml:space="preserve"> \* MERGEFORMAT </w:instrText>
      </w:r>
      <w:r w:rsidR="00676122" w:rsidRPr="00776A0F">
        <w:fldChar w:fldCharType="separate"/>
      </w:r>
      <w:r w:rsidR="0085701D">
        <w:t>[4]</w:t>
      </w:r>
      <w:r w:rsidR="00676122" w:rsidRPr="00776A0F">
        <w:fldChar w:fldCharType="end"/>
      </w:r>
      <w:r w:rsidRPr="00776A0F">
        <w:t>, как изображено на</w:t>
      </w:r>
      <w:r w:rsidR="00491D60" w:rsidRPr="00776A0F">
        <w:t xml:space="preserve"> </w:t>
      </w:r>
      <w:r w:rsidR="00E65334">
        <w:t>р</w:t>
      </w:r>
      <w:r w:rsidR="00491D60" w:rsidRPr="00776A0F">
        <w:t>ис. 2.</w:t>
      </w:r>
      <w:r w:rsidRPr="00776A0F">
        <w:t xml:space="preserve"> </w:t>
      </w:r>
      <w:proofErr w:type="gramEnd"/>
    </w:p>
    <w:p w14:paraId="5BBAD7CA" w14:textId="77777777" w:rsidR="00602EFA" w:rsidRPr="00776A0F" w:rsidRDefault="00602EFA" w:rsidP="00602EFA">
      <w:pPr>
        <w:pStyle w:val="a3"/>
        <w:keepNext/>
        <w:spacing w:before="180"/>
        <w:ind w:firstLine="0"/>
        <w:jc w:val="center"/>
      </w:pPr>
      <w:r w:rsidRPr="00776A0F">
        <w:rPr>
          <w:noProof/>
          <w:lang w:eastAsia="ru-RU"/>
        </w:rPr>
        <w:lastRenderedPageBreak/>
        <w:drawing>
          <wp:inline distT="0" distB="0" distL="0" distR="0" wp14:anchorId="0A6AFD76" wp14:editId="458A3F48">
            <wp:extent cx="3109805" cy="10096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503" cy="1016695"/>
                    </a:xfrm>
                    <a:prstGeom prst="rect">
                      <a:avLst/>
                    </a:prstGeom>
                    <a:noFill/>
                    <a:ln w="6350">
                      <a:noFill/>
                    </a:ln>
                  </pic:spPr>
                </pic:pic>
              </a:graphicData>
            </a:graphic>
          </wp:inline>
        </w:drawing>
      </w:r>
    </w:p>
    <w:p w14:paraId="29F53F2B" w14:textId="77777777" w:rsidR="00602EFA" w:rsidRPr="00776A0F" w:rsidRDefault="00602EFA" w:rsidP="00E65334">
      <w:pPr>
        <w:pStyle w:val="a"/>
        <w:rPr>
          <w:i/>
        </w:rPr>
      </w:pPr>
      <w:r w:rsidRPr="00776A0F">
        <w:t xml:space="preserve">Схема </w:t>
      </w:r>
      <w:r w:rsidR="00D34AD9" w:rsidRPr="00776A0F">
        <w:t>моделирования для оценки его статистических параметров однополосного сигнала телефонии</w:t>
      </w:r>
    </w:p>
    <w:p w14:paraId="408525D8" w14:textId="24C1BE0E" w:rsidR="00602EFA" w:rsidRPr="00776A0F" w:rsidRDefault="00602EFA" w:rsidP="00E1713B">
      <w:pPr>
        <w:pStyle w:val="a3"/>
      </w:pPr>
      <w:r w:rsidRPr="00776A0F">
        <w:t xml:space="preserve">С целью снижения отношения пиковой мощности к средней в полосе пропускания излучения </w:t>
      </w:r>
      <w:r w:rsidRPr="00776A0F">
        <w:rPr>
          <w:i/>
        </w:rPr>
        <w:t>R</w:t>
      </w:r>
      <w:r w:rsidRPr="00776A0F">
        <w:rPr>
          <w:i/>
          <w:vertAlign w:val="subscript"/>
        </w:rPr>
        <w:t>pm</w:t>
      </w:r>
      <w:r w:rsidR="00676122" w:rsidRPr="00776A0F">
        <w:t xml:space="preserve"> до требуемого в </w:t>
      </w:r>
      <w:r w:rsidR="00676122" w:rsidRPr="00776A0F">
        <w:fldChar w:fldCharType="begin"/>
      </w:r>
      <w:r w:rsidR="00676122" w:rsidRPr="00776A0F">
        <w:instrText xml:space="preserve"> REF _Ref222929791 \r \h </w:instrText>
      </w:r>
      <w:r w:rsidR="00776A0F">
        <w:instrText xml:space="preserve"> \* MERGEFORMAT </w:instrText>
      </w:r>
      <w:r w:rsidR="00676122" w:rsidRPr="00776A0F">
        <w:fldChar w:fldCharType="separate"/>
      </w:r>
      <w:r w:rsidR="0085701D">
        <w:t>[5]</w:t>
      </w:r>
      <w:r w:rsidR="00676122" w:rsidRPr="00776A0F">
        <w:fldChar w:fldCharType="end"/>
      </w:r>
      <w:r w:rsidRPr="00776A0F">
        <w:t xml:space="preserve"> значения 8 дБ и менее используется ограничение сигнала по высокой частоте. </w:t>
      </w:r>
      <w:proofErr w:type="gramStart"/>
      <w:r w:rsidRPr="00776A0F">
        <w:t xml:space="preserve">В качестве модулирующего </w:t>
      </w:r>
      <w:r w:rsidRPr="00E1713B">
        <w:t>тестового</w:t>
      </w:r>
      <w:r w:rsidRPr="00776A0F">
        <w:t xml:space="preserve"> сигнала использован эталонный речевой сигнал, применяемый для объективных измерений качества передачи одноканального телефонного сигнала с непрерывной активностью (т.</w:t>
      </w:r>
      <w:r w:rsidR="00E65334">
        <w:t> </w:t>
      </w:r>
      <w:r w:rsidRPr="00776A0F">
        <w:t xml:space="preserve">е. без пауз) и формируемый для воспроизведения основных характеристик </w:t>
      </w:r>
      <w:r w:rsidR="00676122" w:rsidRPr="00776A0F">
        <w:t xml:space="preserve">реальной речи, приведенный в </w:t>
      </w:r>
      <w:r w:rsidR="00676122" w:rsidRPr="00776A0F">
        <w:fldChar w:fldCharType="begin"/>
      </w:r>
      <w:r w:rsidR="00676122" w:rsidRPr="00776A0F">
        <w:instrText xml:space="preserve"> REF _Ref222929800 \r \h </w:instrText>
      </w:r>
      <w:r w:rsidR="00776A0F">
        <w:instrText xml:space="preserve"> \* MERGEFORMAT </w:instrText>
      </w:r>
      <w:r w:rsidR="00676122" w:rsidRPr="00776A0F">
        <w:fldChar w:fldCharType="separate"/>
      </w:r>
      <w:r w:rsidR="0085701D">
        <w:t>[6]</w:t>
      </w:r>
      <w:r w:rsidR="00676122" w:rsidRPr="00776A0F">
        <w:fldChar w:fldCharType="end"/>
      </w:r>
      <w:r w:rsidRPr="00776A0F">
        <w:t>, специально предназначенный для тестирования телефонных каналов телекоммуникационных устройств, и который по своей структуре при длительности 10 с удовлетворяющий рекомендуемой форме передачи сообщения с приоритетом</w:t>
      </w:r>
      <w:proofErr w:type="gramEnd"/>
      <w:r w:rsidRPr="00776A0F">
        <w:t xml:space="preserve"> б</w:t>
      </w:r>
      <w:r w:rsidR="00676122" w:rsidRPr="00776A0F">
        <w:t xml:space="preserve">езопасности в радиотелефонии </w:t>
      </w:r>
      <w:r w:rsidR="00676122" w:rsidRPr="00776A0F">
        <w:fldChar w:fldCharType="begin"/>
      </w:r>
      <w:r w:rsidR="00676122" w:rsidRPr="00776A0F">
        <w:instrText xml:space="preserve"> REF _Ref222929807 \r \h </w:instrText>
      </w:r>
      <w:r w:rsidR="00776A0F">
        <w:instrText xml:space="preserve"> \* MERGEFORMAT </w:instrText>
      </w:r>
      <w:r w:rsidR="00676122" w:rsidRPr="00776A0F">
        <w:fldChar w:fldCharType="separate"/>
      </w:r>
      <w:r w:rsidR="0085701D">
        <w:t>[7]</w:t>
      </w:r>
      <w:r w:rsidR="00676122" w:rsidRPr="00776A0F">
        <w:fldChar w:fldCharType="end"/>
      </w:r>
      <w:r w:rsidRPr="00776A0F">
        <w:t xml:space="preserve">. Подача вместо искусственного голоса реального сигнала с примерно близкими статистическими характеристиками позволяет оценивать разборчивость </w:t>
      </w:r>
      <w:proofErr w:type="spellStart"/>
      <w:r w:rsidRPr="00776A0F">
        <w:t>демодулированного</w:t>
      </w:r>
      <w:proofErr w:type="spellEnd"/>
      <w:r w:rsidRPr="00776A0F">
        <w:t xml:space="preserve"> сигнала в зависимости от значения вводимого ограничения.</w:t>
      </w:r>
    </w:p>
    <w:p w14:paraId="4F09A569" w14:textId="77777777" w:rsidR="00602EFA" w:rsidRPr="00E65334" w:rsidRDefault="00602EFA" w:rsidP="00E65334">
      <w:pPr>
        <w:pStyle w:val="a3"/>
      </w:pPr>
      <w:r w:rsidRPr="00776A0F">
        <w:t xml:space="preserve">Моделирование проведено в системе компьютерной алгебры </w:t>
      </w:r>
      <w:proofErr w:type="spellStart"/>
      <w:r w:rsidRPr="00776A0F">
        <w:t>Mathcad</w:t>
      </w:r>
      <w:proofErr w:type="spellEnd"/>
      <w:r w:rsidRPr="00776A0F">
        <w:t> 14.</w:t>
      </w:r>
    </w:p>
    <w:p w14:paraId="401B9419" w14:textId="77777777" w:rsidR="00602EFA" w:rsidRDefault="00602EFA" w:rsidP="00E76735">
      <w:pPr>
        <w:pStyle w:val="a3"/>
        <w:spacing w:line="240" w:lineRule="auto"/>
        <w:rPr>
          <w:bCs/>
        </w:rPr>
      </w:pPr>
      <w:r w:rsidRPr="00776A0F">
        <w:rPr>
          <w:bCs/>
        </w:rPr>
        <w:t xml:space="preserve">Результаты моделирования при ограничении по низкочастотному (НЧ) сигналу приведены на </w:t>
      </w:r>
      <w:r w:rsidR="00E65334">
        <w:rPr>
          <w:bCs/>
        </w:rPr>
        <w:t>рис. 3</w:t>
      </w:r>
      <w:r w:rsidR="00E65334" w:rsidRPr="00E65334">
        <w:rPr>
          <w:bCs/>
          <w:i/>
        </w:rPr>
        <w:t>а</w:t>
      </w:r>
      <w:r w:rsidRPr="00776A0F">
        <w:rPr>
          <w:bCs/>
        </w:rPr>
        <w:t xml:space="preserve">, по высокочастотному сигналу (ВЧ) на </w:t>
      </w:r>
      <w:r w:rsidR="00E65334">
        <w:rPr>
          <w:bCs/>
        </w:rPr>
        <w:t>рис. 3</w:t>
      </w:r>
      <w:r w:rsidR="00E65334">
        <w:rPr>
          <w:bCs/>
          <w:i/>
        </w:rPr>
        <w:t>б</w:t>
      </w:r>
      <w:r w:rsidRPr="00776A0F">
        <w:rPr>
          <w:bCs/>
        </w:rPr>
        <w:t>.</w:t>
      </w:r>
    </w:p>
    <w:p w14:paraId="7D0D4C95" w14:textId="77777777" w:rsidR="00602EFA" w:rsidRPr="00776A0F" w:rsidRDefault="00602EFA" w:rsidP="00602EFA">
      <w:pPr>
        <w:pStyle w:val="a3"/>
        <w:spacing w:line="240" w:lineRule="auto"/>
        <w:ind w:firstLine="0"/>
        <w:jc w:val="center"/>
        <w:rPr>
          <w:bCs/>
        </w:rPr>
      </w:pPr>
      <w:r w:rsidRPr="00776A0F">
        <w:rPr>
          <w:noProof/>
          <w:lang w:eastAsia="ru-RU"/>
        </w:rPr>
        <w:drawing>
          <wp:inline distT="0" distB="0" distL="0" distR="0" wp14:anchorId="63AA7576" wp14:editId="58C8B191">
            <wp:extent cx="2592000" cy="151263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Ограничение SSB по НЧ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51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FF79A" w14:textId="77777777" w:rsidR="00C612F7" w:rsidRPr="00776A0F" w:rsidRDefault="00C612F7" w:rsidP="00C612F7">
      <w:pPr>
        <w:pStyle w:val="a3"/>
        <w:keepNext/>
        <w:ind w:firstLine="0"/>
        <w:jc w:val="center"/>
      </w:pPr>
      <w:r w:rsidRPr="00776A0F">
        <w:rPr>
          <w:noProof/>
          <w:lang w:eastAsia="ru-RU"/>
        </w:rPr>
        <w:drawing>
          <wp:inline distT="0" distB="0" distL="0" distR="0" wp14:anchorId="634703AC" wp14:editId="38A5C98C">
            <wp:extent cx="2520000" cy="1454692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Ограничение SSB по ВЧ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454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A9201" w14:textId="77777777" w:rsidR="00C612F7" w:rsidRPr="00776A0F" w:rsidRDefault="006E7436" w:rsidP="0087278D">
      <w:pPr>
        <w:pStyle w:val="a"/>
        <w:rPr>
          <w:i/>
        </w:rPr>
      </w:pPr>
      <w:r w:rsidRPr="00776A0F">
        <w:t>З</w:t>
      </w:r>
      <w:r w:rsidR="00C55998" w:rsidRPr="00776A0F">
        <w:t>ависимости</w:t>
      </w:r>
      <w:r w:rsidRPr="00776A0F">
        <w:t xml:space="preserve"> с</w:t>
      </w:r>
      <w:r w:rsidR="00C612F7" w:rsidRPr="00776A0F">
        <w:t>татистически</w:t>
      </w:r>
      <w:r w:rsidR="00C55998" w:rsidRPr="00776A0F">
        <w:t>х</w:t>
      </w:r>
      <w:r w:rsidR="00C612F7" w:rsidRPr="00776A0F">
        <w:t xml:space="preserve"> </w:t>
      </w:r>
      <w:r w:rsidRPr="00776A0F">
        <w:t>параметров</w:t>
      </w:r>
      <w:r w:rsidR="00C612F7" w:rsidRPr="00776A0F">
        <w:t xml:space="preserve"> однополосного сигнала телефонии </w:t>
      </w:r>
      <w:r w:rsidR="00C55998" w:rsidRPr="00776A0F">
        <w:t>от степени</w:t>
      </w:r>
      <w:r w:rsidR="00C612F7" w:rsidRPr="00776A0F">
        <w:t xml:space="preserve"> ограничении на НЧ (а) и ВЧ (б)</w:t>
      </w:r>
    </w:p>
    <w:p w14:paraId="0F902003" w14:textId="77777777" w:rsidR="005755E4" w:rsidRPr="00776A0F" w:rsidRDefault="005755E4" w:rsidP="00E65334">
      <w:pPr>
        <w:pStyle w:val="a3"/>
        <w:rPr>
          <w:bCs/>
        </w:rPr>
      </w:pPr>
      <w:r w:rsidRPr="00776A0F">
        <w:rPr>
          <w:bCs/>
        </w:rPr>
        <w:t xml:space="preserve">При этом </w:t>
      </w:r>
      <w:r w:rsidRPr="00E65334">
        <w:t>параметры</w:t>
      </w:r>
      <w:r w:rsidRPr="00776A0F">
        <w:rPr>
          <w:bCs/>
        </w:rPr>
        <w:t xml:space="preserve"> </w:t>
      </w:r>
      <w:r w:rsidRPr="00776A0F">
        <w:rPr>
          <w:position w:val="-10"/>
          <w:lang w:eastAsia="ru-RU"/>
        </w:rPr>
        <w:object w:dxaOrig="620" w:dyaOrig="380" w14:anchorId="53384189">
          <v:shape id="_x0000_i1029" type="#_x0000_t75" style="width:31.8pt;height:17.4pt" o:ole="">
            <v:imagedata r:id="rId18" o:title=""/>
          </v:shape>
          <o:OLEObject Type="Embed" ProgID="Equation.DSMT4" ShapeID="_x0000_i1029" DrawAspect="Content" ObjectID="_1837860686" r:id="rId25"/>
        </w:object>
      </w:r>
      <w:r w:rsidRPr="00776A0F">
        <w:rPr>
          <w:lang w:eastAsia="ru-RU"/>
        </w:rPr>
        <w:t>,</w:t>
      </w:r>
      <w:r w:rsidRPr="00776A0F">
        <w:rPr>
          <w:position w:val="-14"/>
          <w:lang w:eastAsia="ru-RU"/>
        </w:rPr>
        <w:object w:dxaOrig="760" w:dyaOrig="420" w14:anchorId="30370AF9">
          <v:shape id="_x0000_i1030" type="#_x0000_t75" style="width:39.6pt;height:19.8pt" o:ole="">
            <v:imagedata r:id="rId20" o:title=""/>
          </v:shape>
          <o:OLEObject Type="Embed" ProgID="Equation.DSMT4" ShapeID="_x0000_i1030" DrawAspect="Content" ObjectID="_1837860687" r:id="rId26"/>
        </w:object>
      </w:r>
      <w:r w:rsidRPr="00776A0F">
        <w:rPr>
          <w:lang w:eastAsia="ru-RU"/>
        </w:rPr>
        <w:t xml:space="preserve"> и </w:t>
      </w:r>
      <w:r w:rsidRPr="00776A0F">
        <w:rPr>
          <w:position w:val="-16"/>
          <w:lang w:eastAsia="ru-RU"/>
        </w:rPr>
        <w:object w:dxaOrig="420" w:dyaOrig="420" w14:anchorId="4AACC301">
          <v:shape id="_x0000_i1031" type="#_x0000_t75" style="width:19.8pt;height:19.8pt" o:ole="">
            <v:imagedata r:id="rId27" o:title=""/>
          </v:shape>
          <o:OLEObject Type="Embed" ProgID="Equation.DSMT4" ShapeID="_x0000_i1031" DrawAspect="Content" ObjectID="_1837860688" r:id="rId28"/>
        </w:object>
      </w:r>
      <w:r w:rsidRPr="00776A0F">
        <w:rPr>
          <w:lang w:eastAsia="ru-RU"/>
        </w:rPr>
        <w:t xml:space="preserve"> </w:t>
      </w:r>
      <w:r w:rsidRPr="00776A0F">
        <w:rPr>
          <w:bCs/>
        </w:rPr>
        <w:t xml:space="preserve"> определяются формулами:</w:t>
      </w:r>
    </w:p>
    <w:p w14:paraId="2728D002" w14:textId="77777777" w:rsidR="005755E4" w:rsidRPr="00776A0F" w:rsidRDefault="005755E4" w:rsidP="005755E4">
      <w:pPr>
        <w:pStyle w:val="a3"/>
        <w:spacing w:after="0"/>
        <w:ind w:firstLine="0"/>
        <w:jc w:val="center"/>
        <w:rPr>
          <w:rFonts w:eastAsia="Calibri"/>
          <w:bCs/>
          <w:lang w:eastAsia="ru-RU"/>
        </w:rPr>
      </w:pPr>
      <w:r w:rsidRPr="00776A0F">
        <w:rPr>
          <w:rFonts w:eastAsia="Calibri"/>
          <w:bCs/>
          <w:position w:val="-32"/>
          <w:lang w:eastAsia="ru-RU"/>
        </w:rPr>
        <w:object w:dxaOrig="2140" w:dyaOrig="740" w14:anchorId="60C1E151">
          <v:shape id="_x0000_i1032" type="#_x0000_t75" style="width:106.8pt;height:36.6pt" o:ole="">
            <v:imagedata r:id="rId29" o:title=""/>
          </v:shape>
          <o:OLEObject Type="Embed" ProgID="Equation.DSMT4" ShapeID="_x0000_i1032" DrawAspect="Content" ObjectID="_1837860689" r:id="rId30"/>
        </w:object>
      </w:r>
      <w:r w:rsidR="00574CE7" w:rsidRPr="00776A0F">
        <w:rPr>
          <w:rFonts w:eastAsia="Calibri"/>
          <w:bCs/>
          <w:lang w:eastAsia="ru-RU"/>
        </w:rPr>
        <w:t>;</w:t>
      </w:r>
    </w:p>
    <w:p w14:paraId="63C0AA0D" w14:textId="77777777" w:rsidR="005755E4" w:rsidRPr="00776A0F" w:rsidRDefault="005755E4" w:rsidP="005755E4">
      <w:pPr>
        <w:pStyle w:val="a3"/>
        <w:spacing w:after="0"/>
        <w:ind w:firstLine="0"/>
        <w:jc w:val="center"/>
      </w:pPr>
      <w:r w:rsidRPr="00776A0F">
        <w:rPr>
          <w:position w:val="-24"/>
        </w:rPr>
        <w:object w:dxaOrig="3040" w:dyaOrig="780" w14:anchorId="08EDC61B">
          <v:shape id="_x0000_i1033" type="#_x0000_t75" style="width:120.6pt;height:31.8pt" o:ole="">
            <v:imagedata r:id="rId31" o:title=""/>
          </v:shape>
          <o:OLEObject Type="Embed" ProgID="Equation.DSMT4" ShapeID="_x0000_i1033" DrawAspect="Content" ObjectID="_1837860690" r:id="rId32"/>
        </w:object>
      </w:r>
      <w:r w:rsidR="00574CE7" w:rsidRPr="00776A0F">
        <w:t>;</w:t>
      </w:r>
    </w:p>
    <w:p w14:paraId="71489FF1" w14:textId="77777777" w:rsidR="005755E4" w:rsidRPr="00776A0F" w:rsidRDefault="005755E4" w:rsidP="005755E4">
      <w:pPr>
        <w:pStyle w:val="a3"/>
        <w:spacing w:after="0"/>
        <w:ind w:firstLine="0"/>
        <w:jc w:val="center"/>
      </w:pPr>
      <w:r w:rsidRPr="00776A0F">
        <w:rPr>
          <w:position w:val="-32"/>
        </w:rPr>
        <w:object w:dxaOrig="2520" w:dyaOrig="740" w14:anchorId="24D5BFF2">
          <v:shape id="_x0000_i1034" type="#_x0000_t75" style="width:126pt;height:36.6pt" o:ole="">
            <v:imagedata r:id="rId33" o:title=""/>
          </v:shape>
          <o:OLEObject Type="Embed" ProgID="Equation.DSMT4" ShapeID="_x0000_i1034" DrawAspect="Content" ObjectID="_1837860691" r:id="rId34"/>
        </w:object>
      </w:r>
      <w:r w:rsidR="00574CE7" w:rsidRPr="00776A0F">
        <w:t>,</w:t>
      </w:r>
    </w:p>
    <w:p w14:paraId="0A2CDDFC" w14:textId="77777777" w:rsidR="00574CE7" w:rsidRPr="00776A0F" w:rsidRDefault="00574CE7" w:rsidP="00E65334">
      <w:pPr>
        <w:pStyle w:val="a3"/>
        <w:ind w:firstLine="0"/>
        <w:rPr>
          <w:bCs/>
        </w:rPr>
      </w:pPr>
      <w:r w:rsidRPr="00776A0F">
        <w:rPr>
          <w:rFonts w:eastAsia="Calibri"/>
          <w:bCs/>
          <w:lang w:eastAsia="ru-RU"/>
        </w:rPr>
        <w:t xml:space="preserve">где </w:t>
      </w:r>
      <w:r w:rsidRPr="00776A0F">
        <w:rPr>
          <w:position w:val="-6"/>
        </w:rPr>
        <w:object w:dxaOrig="240" w:dyaOrig="240" w14:anchorId="37315AFD">
          <v:shape id="_x0000_i1035" type="#_x0000_t75" style="width:12pt;height:12pt" o:ole="">
            <v:imagedata r:id="rId35" o:title=""/>
          </v:shape>
          <o:OLEObject Type="Embed" ProgID="Equation.DSMT4" ShapeID="_x0000_i1035" DrawAspect="Content" ObjectID="_1837860692" r:id="rId36"/>
        </w:object>
      </w:r>
      <w:r w:rsidRPr="00776A0F">
        <w:t xml:space="preserve"> ‒ общее количество отсчетов, </w:t>
      </w:r>
      <w:r w:rsidRPr="00776A0F">
        <w:rPr>
          <w:position w:val="-10"/>
        </w:rPr>
        <w:object w:dxaOrig="220" w:dyaOrig="320" w14:anchorId="7B7C7EF6">
          <v:shape id="_x0000_i1036" type="#_x0000_t75" style="width:10.8pt;height:16.8pt" o:ole="">
            <v:imagedata r:id="rId37" o:title=""/>
          </v:shape>
          <o:OLEObject Type="Embed" ProgID="Equation.DSMT4" ShapeID="_x0000_i1036" DrawAspect="Content" ObjectID="_1837860693" r:id="rId38"/>
        </w:object>
      </w:r>
      <w:r w:rsidRPr="00776A0F">
        <w:t xml:space="preserve"> ‒ текущий отсчет мощности, </w:t>
      </w:r>
      <w:r w:rsidRPr="00776A0F">
        <w:rPr>
          <w:position w:val="-6"/>
        </w:rPr>
        <w:object w:dxaOrig="420" w:dyaOrig="200" w14:anchorId="721FA883">
          <v:shape id="_x0000_i1037" type="#_x0000_t75" style="width:19.8pt;height:10.2pt" o:ole="">
            <v:imagedata r:id="rId39" o:title=""/>
          </v:shape>
          <o:OLEObject Type="Embed" ProgID="Equation.DSMT4" ShapeID="_x0000_i1037" DrawAspect="Content" ObjectID="_1837860694" r:id="rId40"/>
        </w:object>
      </w:r>
      <w:r w:rsidRPr="00776A0F">
        <w:t xml:space="preserve">‒ максимальное значение, </w:t>
      </w:r>
      <w:r w:rsidRPr="00776A0F">
        <w:rPr>
          <w:position w:val="-6"/>
        </w:rPr>
        <w:object w:dxaOrig="520" w:dyaOrig="200" w14:anchorId="4390A140">
          <v:shape id="_x0000_i1038" type="#_x0000_t75" style="width:25.8pt;height:10.2pt" o:ole="">
            <v:imagedata r:id="rId41" o:title=""/>
          </v:shape>
          <o:OLEObject Type="Embed" ProgID="Equation.DSMT4" ShapeID="_x0000_i1038" DrawAspect="Content" ObjectID="_1837860695" r:id="rId42"/>
        </w:object>
      </w:r>
      <w:r w:rsidRPr="00776A0F">
        <w:t xml:space="preserve">‒ среднее </w:t>
      </w:r>
      <w:r w:rsidRPr="00E65334">
        <w:t>значение</w:t>
      </w:r>
      <w:r w:rsidRPr="00776A0F">
        <w:t xml:space="preserve">, </w:t>
      </w:r>
      <w:r w:rsidRPr="00776A0F">
        <w:rPr>
          <w:position w:val="-10"/>
        </w:rPr>
        <w:object w:dxaOrig="580" w:dyaOrig="279" w14:anchorId="1E86F13D">
          <v:shape id="_x0000_i1039" type="#_x0000_t75" style="width:30pt;height:14.4pt" o:ole="">
            <v:imagedata r:id="rId43" o:title=""/>
          </v:shape>
          <o:OLEObject Type="Embed" ProgID="Equation.DSMT4" ShapeID="_x0000_i1039" DrawAspect="Content" ObjectID="_1837860696" r:id="rId44"/>
        </w:object>
      </w:r>
      <w:r w:rsidRPr="00776A0F">
        <w:t xml:space="preserve"> ‒  90% </w:t>
      </w:r>
      <w:proofErr w:type="spellStart"/>
      <w:r w:rsidRPr="00776A0F">
        <w:t>процентиль</w:t>
      </w:r>
      <w:proofErr w:type="spellEnd"/>
      <w:r w:rsidRPr="00776A0F">
        <w:t xml:space="preserve">, </w:t>
      </w:r>
      <w:r w:rsidRPr="00776A0F">
        <w:rPr>
          <w:position w:val="-6"/>
        </w:rPr>
        <w:object w:dxaOrig="660" w:dyaOrig="260" w14:anchorId="39E17499">
          <v:shape id="_x0000_i1040" type="#_x0000_t75" style="width:33pt;height:13.2pt" o:ole="">
            <v:imagedata r:id="rId45" o:title=""/>
          </v:shape>
          <o:OLEObject Type="Embed" ProgID="Equation.DSMT4" ShapeID="_x0000_i1040" DrawAspect="Content" ObjectID="_1837860697" r:id="rId46"/>
        </w:object>
      </w:r>
      <w:r w:rsidRPr="00776A0F">
        <w:t xml:space="preserve">‒ медианное значение, </w:t>
      </w:r>
      <w:r w:rsidRPr="00776A0F">
        <w:rPr>
          <w:i/>
          <w:lang w:val="en-US"/>
        </w:rPr>
        <w:t>c</w:t>
      </w:r>
      <w:r w:rsidRPr="00776A0F">
        <w:t xml:space="preserve"> = 10/</w:t>
      </w:r>
      <w:r w:rsidRPr="00776A0F">
        <w:rPr>
          <w:lang w:val="en-US"/>
        </w:rPr>
        <w:t>ln</w:t>
      </w:r>
      <w:r w:rsidRPr="00776A0F">
        <w:t>(10) = 4,343 – коэффициент преобразования натурального логарифма величины в дБ.</w:t>
      </w:r>
    </w:p>
    <w:p w14:paraId="764CC2B8" w14:textId="4AB2BE86" w:rsidR="00F94F51" w:rsidRPr="00776A0F" w:rsidRDefault="00FF7052" w:rsidP="0087278D">
      <w:pPr>
        <w:pStyle w:val="a3"/>
      </w:pPr>
      <w:r w:rsidRPr="00776A0F">
        <w:t xml:space="preserve">Из </w:t>
      </w:r>
      <w:r w:rsidR="00491D60" w:rsidRPr="00776A0F">
        <w:t xml:space="preserve">графиков на </w:t>
      </w:r>
      <w:r w:rsidR="0087278D">
        <w:t>р</w:t>
      </w:r>
      <w:r w:rsidR="00491D60" w:rsidRPr="00776A0F">
        <w:t xml:space="preserve">ис. 3 </w:t>
      </w:r>
      <w:r w:rsidRPr="00776A0F">
        <w:t xml:space="preserve">следует, что определяемые статистические параметры существенно зависят не только от степени ограничения, но и от того, на каком этапе формирования однополосного сигнала осуществляется это ограничение. Учитывая, что нормативными документами не регламентируется степень ограничения сигнала и место ограничения в структурной схеме ПРДУ однозначное предварительное определение </w:t>
      </w:r>
      <w:r w:rsidR="00F94F51" w:rsidRPr="00776A0F">
        <w:t xml:space="preserve">таких </w:t>
      </w:r>
      <w:r w:rsidRPr="00776A0F">
        <w:t>статистических параметров</w:t>
      </w:r>
      <w:r w:rsidR="00F94F51" w:rsidRPr="00776A0F">
        <w:t xml:space="preserve"> однополосного сигнала, как </w:t>
      </w:r>
      <w:r w:rsidR="00503237" w:rsidRPr="00776A0F">
        <w:t>стандартное отклонение</w:t>
      </w:r>
      <w:r w:rsidR="00F94F51" w:rsidRPr="00776A0F">
        <w:t xml:space="preserve"> и верхний дециль затруднено. Отдельно следует отметить, что обеспечение тре</w:t>
      </w:r>
      <w:r w:rsidR="00676122" w:rsidRPr="00776A0F">
        <w:t xml:space="preserve">буемого в </w:t>
      </w:r>
      <w:r w:rsidR="00676122" w:rsidRPr="00776A0F">
        <w:fldChar w:fldCharType="begin"/>
      </w:r>
      <w:r w:rsidR="00676122" w:rsidRPr="00776A0F">
        <w:instrText xml:space="preserve"> REF _Ref222929791 \r \h </w:instrText>
      </w:r>
      <w:r w:rsidR="00776A0F">
        <w:instrText xml:space="preserve"> \* MERGEFORMAT </w:instrText>
      </w:r>
      <w:r w:rsidR="00676122" w:rsidRPr="00776A0F">
        <w:fldChar w:fldCharType="separate"/>
      </w:r>
      <w:r w:rsidR="0085701D">
        <w:t>[5]</w:t>
      </w:r>
      <w:r w:rsidR="00676122" w:rsidRPr="00776A0F">
        <w:fldChar w:fldCharType="end"/>
      </w:r>
      <w:r w:rsidR="002803A6" w:rsidRPr="00776A0F">
        <w:t xml:space="preserve"> значения </w:t>
      </w:r>
      <w:proofErr w:type="gramStart"/>
      <w:r w:rsidR="002803A6" w:rsidRPr="00776A0F">
        <w:t>пик-фактора</w:t>
      </w:r>
      <w:proofErr w:type="gramEnd"/>
      <w:r w:rsidR="002803A6" w:rsidRPr="00776A0F">
        <w:rPr>
          <w:szCs w:val="22"/>
          <w:lang w:val="en-US" w:eastAsia="ru-RU"/>
        </w:rPr>
        <w:t> </w:t>
      </w:r>
      <w:r w:rsidR="002803A6" w:rsidRPr="00776A0F">
        <w:rPr>
          <w:position w:val="-16"/>
          <w:szCs w:val="22"/>
          <w:lang w:eastAsia="ru-RU"/>
        </w:rPr>
        <w:object w:dxaOrig="420" w:dyaOrig="420" w14:anchorId="1942D758">
          <v:shape id="_x0000_i1041" type="#_x0000_t75" style="width:19.8pt;height:19.8pt" o:ole="">
            <v:imagedata r:id="rId27" o:title=""/>
          </v:shape>
          <o:OLEObject Type="Embed" ProgID="Equation.DSMT4" ShapeID="_x0000_i1041" DrawAspect="Content" ObjectID="_1837860698" r:id="rId47"/>
        </w:object>
      </w:r>
      <w:r w:rsidR="00F94F51" w:rsidRPr="00776A0F">
        <w:t xml:space="preserve">= 8 дБ при ограничении по НЧ является практически нереализуемым, при том, что при ограничении по НЧ разборчивость речи снижается при существенных уровнях ограничения − порядка 100 дБ и выше. Данный эффект объясняется тем, что разборчивость речи в основном формируется </w:t>
      </w:r>
      <w:r w:rsidR="00F94F51" w:rsidRPr="0087278D">
        <w:t>комбинациями</w:t>
      </w:r>
      <w:r w:rsidR="00F94F51" w:rsidRPr="00776A0F">
        <w:t xml:space="preserve"> формантных частот звуков и слабо зависит от </w:t>
      </w:r>
      <w:r w:rsidR="00807D7B" w:rsidRPr="00776A0F">
        <w:t xml:space="preserve">их </w:t>
      </w:r>
      <w:r w:rsidR="00F94F51" w:rsidRPr="00776A0F">
        <w:t>амплитудных соотношений.</w:t>
      </w:r>
    </w:p>
    <w:p w14:paraId="79D6F331" w14:textId="77777777" w:rsidR="00FF7052" w:rsidRPr="0087278D" w:rsidRDefault="00F94F51" w:rsidP="0087278D">
      <w:pPr>
        <w:pStyle w:val="a3"/>
      </w:pPr>
      <w:r w:rsidRPr="00776A0F">
        <w:t>Эффективность ограничени</w:t>
      </w:r>
      <w:r w:rsidR="0087278D">
        <w:t>я</w:t>
      </w:r>
      <w:r w:rsidRPr="00776A0F">
        <w:t xml:space="preserve"> по ВЧ существенно выше, и в принципе при ограничениях свыше 35 дБ можно обеспечить значения </w:t>
      </w:r>
      <w:r w:rsidR="002803A6" w:rsidRPr="00776A0F">
        <w:rPr>
          <w:position w:val="-16"/>
          <w:szCs w:val="22"/>
          <w:lang w:eastAsia="ru-RU"/>
        </w:rPr>
        <w:object w:dxaOrig="420" w:dyaOrig="420" w14:anchorId="344C0291">
          <v:shape id="_x0000_i1042" type="#_x0000_t75" style="width:19.8pt;height:19.8pt" o:ole="">
            <v:imagedata r:id="rId27" o:title=""/>
          </v:shape>
          <o:OLEObject Type="Embed" ProgID="Equation.DSMT4" ShapeID="_x0000_i1042" DrawAspect="Content" ObjectID="_1837860699" r:id="rId48"/>
        </w:object>
      </w:r>
      <w:r w:rsidRPr="00776A0F">
        <w:rPr>
          <w:i/>
          <w:vertAlign w:val="subscript"/>
        </w:rPr>
        <w:t> </w:t>
      </w:r>
      <w:r w:rsidRPr="00E1713B">
        <w:t>≈</w:t>
      </w:r>
      <w:r w:rsidRPr="00776A0F">
        <w:t xml:space="preserve"> 8 дБ. Разборчивость речи при этом </w:t>
      </w:r>
      <w:r w:rsidR="002F4079" w:rsidRPr="00776A0F">
        <w:t xml:space="preserve">начинает </w:t>
      </w:r>
      <w:r w:rsidRPr="00776A0F">
        <w:t>ухудшат</w:t>
      </w:r>
      <w:r w:rsidR="002F4079" w:rsidRPr="00776A0F">
        <w:t>ь</w:t>
      </w:r>
      <w:r w:rsidRPr="00776A0F">
        <w:t xml:space="preserve">ся при ограничениях </w:t>
      </w:r>
      <w:r w:rsidR="002F4079" w:rsidRPr="00776A0F">
        <w:t>выше</w:t>
      </w:r>
      <w:r w:rsidRPr="00776A0F">
        <w:t xml:space="preserve"> 45 – 50 дБ.</w:t>
      </w:r>
    </w:p>
    <w:p w14:paraId="463CA3CC" w14:textId="3AD423C9" w:rsidR="001E14D5" w:rsidRPr="00776A0F" w:rsidRDefault="001E14D5" w:rsidP="0087278D">
      <w:pPr>
        <w:pStyle w:val="a3"/>
      </w:pPr>
      <w:r w:rsidRPr="00776A0F">
        <w:t xml:space="preserve">Особо следует отметить недостижимость значения </w:t>
      </w:r>
      <w:r w:rsidR="002803A6" w:rsidRPr="00776A0F">
        <w:rPr>
          <w:position w:val="-16"/>
          <w:szCs w:val="22"/>
          <w:lang w:eastAsia="ru-RU"/>
        </w:rPr>
        <w:object w:dxaOrig="420" w:dyaOrig="420" w14:anchorId="630B45F9">
          <v:shape id="_x0000_i1043" type="#_x0000_t75" style="width:19.8pt;height:19.8pt" o:ole="">
            <v:imagedata r:id="rId27" o:title=""/>
          </v:shape>
          <o:OLEObject Type="Embed" ProgID="Equation.DSMT4" ShapeID="_x0000_i1043" DrawAspect="Content" ObjectID="_1837860700" r:id="rId49"/>
        </w:object>
      </w:r>
      <w:r w:rsidRPr="00776A0F">
        <w:rPr>
          <w:i/>
          <w:vertAlign w:val="subscript"/>
        </w:rPr>
        <w:t> </w:t>
      </w:r>
      <w:r w:rsidRPr="00E1713B">
        <w:t>=</w:t>
      </w:r>
      <w:r w:rsidR="00676122" w:rsidRPr="00776A0F">
        <w:t xml:space="preserve"> 3 дБ, приведенного в </w:t>
      </w:r>
      <w:r w:rsidR="00676122" w:rsidRPr="00776A0F">
        <w:fldChar w:fldCharType="begin"/>
      </w:r>
      <w:r w:rsidR="00676122" w:rsidRPr="00776A0F">
        <w:instrText xml:space="preserve"> REF _Ref222929791 \r \h </w:instrText>
      </w:r>
      <w:r w:rsidR="00776A0F">
        <w:instrText xml:space="preserve"> \* MERGEFORMAT </w:instrText>
      </w:r>
      <w:r w:rsidR="00676122" w:rsidRPr="00776A0F">
        <w:fldChar w:fldCharType="separate"/>
      </w:r>
      <w:r w:rsidR="0085701D">
        <w:t>[5]</w:t>
      </w:r>
      <w:r w:rsidR="00676122" w:rsidRPr="00776A0F">
        <w:fldChar w:fldCharType="end"/>
      </w:r>
      <w:r w:rsidRPr="00776A0F">
        <w:t xml:space="preserve"> в качестве </w:t>
      </w:r>
      <w:r w:rsidR="0087278D">
        <w:t>«</w:t>
      </w:r>
      <w:r w:rsidRPr="00776A0F">
        <w:t>типичного значения</w:t>
      </w:r>
      <w:r w:rsidR="0087278D">
        <w:t>»</w:t>
      </w:r>
      <w:r w:rsidRPr="00776A0F">
        <w:t xml:space="preserve"> при определении требуемой мощности </w:t>
      </w:r>
      <w:r w:rsidR="003859B7" w:rsidRPr="00776A0F">
        <w:t>ПРДУ</w:t>
      </w:r>
      <w:r w:rsidRPr="00776A0F">
        <w:t xml:space="preserve"> берегового базирования. </w:t>
      </w:r>
      <w:r w:rsidR="001C1D73" w:rsidRPr="00776A0F">
        <w:t xml:space="preserve">Как минимум, при таком значении </w:t>
      </w:r>
      <w:r w:rsidR="001C1D73" w:rsidRPr="00776A0F">
        <w:rPr>
          <w:i/>
        </w:rPr>
        <w:t>R</w:t>
      </w:r>
      <w:r w:rsidR="001C1D73" w:rsidRPr="00776A0F">
        <w:rPr>
          <w:i/>
          <w:vertAlign w:val="subscript"/>
        </w:rPr>
        <w:t>pm </w:t>
      </w:r>
      <w:r w:rsidR="001C1D73" w:rsidRPr="00776A0F">
        <w:t xml:space="preserve"> разборчивость речи практически пропадает. Указанное</w:t>
      </w:r>
      <w:r w:rsidRPr="00776A0F">
        <w:t xml:space="preserve"> значение пик-фактора является явно заниженным и, соответственно, приводит к занижению требуемой мощности берегового </w:t>
      </w:r>
      <w:r w:rsidR="003859B7" w:rsidRPr="00776A0F">
        <w:t xml:space="preserve">при проектировании </w:t>
      </w:r>
      <w:r w:rsidR="001C1D73" w:rsidRPr="00776A0F">
        <w:t>береговой станции МР А2 ГМССБ</w:t>
      </w:r>
      <w:r w:rsidR="003859B7" w:rsidRPr="00776A0F">
        <w:t xml:space="preserve">, </w:t>
      </w:r>
      <w:r w:rsidR="001C1D73" w:rsidRPr="00776A0F">
        <w:t xml:space="preserve">и, </w:t>
      </w:r>
      <w:r w:rsidR="003859B7" w:rsidRPr="00776A0F">
        <w:t xml:space="preserve">как следствие, к </w:t>
      </w:r>
      <w:r w:rsidR="00850C7C" w:rsidRPr="00776A0F">
        <w:t>снижению</w:t>
      </w:r>
      <w:r w:rsidR="003859B7" w:rsidRPr="00776A0F">
        <w:t xml:space="preserve"> требуемой граничной дальности радиосвязи в направлении берег-судно.</w:t>
      </w:r>
    </w:p>
    <w:p w14:paraId="1F64B2D6" w14:textId="77777777" w:rsidR="00372C8E" w:rsidRPr="00776A0F" w:rsidRDefault="0087278D" w:rsidP="0087278D">
      <w:pPr>
        <w:pStyle w:val="1"/>
      </w:pPr>
      <w:r w:rsidRPr="00776A0F">
        <w:t xml:space="preserve">Измерение </w:t>
      </w:r>
      <w:r w:rsidR="00DA48A4" w:rsidRPr="00776A0F">
        <w:t xml:space="preserve">и расчет </w:t>
      </w:r>
      <w:r w:rsidR="00E76735" w:rsidRPr="00776A0F">
        <w:t>параметров</w:t>
      </w:r>
      <w:r w:rsidR="00372C8E" w:rsidRPr="00776A0F">
        <w:t xml:space="preserve"> однополосного сигнала</w:t>
      </w:r>
    </w:p>
    <w:p w14:paraId="752D7A87" w14:textId="77777777" w:rsidR="00372C8E" w:rsidRPr="00776A0F" w:rsidRDefault="001C696C" w:rsidP="0087278D">
      <w:pPr>
        <w:pStyle w:val="a3"/>
      </w:pPr>
      <w:r w:rsidRPr="0087278D">
        <w:t>Экспериментальное</w:t>
      </w:r>
      <w:r w:rsidRPr="00776A0F">
        <w:t xml:space="preserve"> определение статистических параметров однополосного сигнала проведено </w:t>
      </w:r>
      <w:r w:rsidR="000C553E" w:rsidRPr="00776A0F">
        <w:t xml:space="preserve">на основе судовой радиостанции </w:t>
      </w:r>
      <w:r w:rsidR="000C553E" w:rsidRPr="00776A0F">
        <w:rPr>
          <w:lang w:val="en-US"/>
        </w:rPr>
        <w:t>IC</w:t>
      </w:r>
      <w:r w:rsidR="000C553E" w:rsidRPr="00776A0F">
        <w:t>-</w:t>
      </w:r>
      <w:r w:rsidR="000C553E" w:rsidRPr="00776A0F">
        <w:rPr>
          <w:lang w:val="en-US"/>
        </w:rPr>
        <w:t>M</w:t>
      </w:r>
      <w:r w:rsidR="000C553E" w:rsidRPr="00776A0F">
        <w:t xml:space="preserve">802 </w:t>
      </w:r>
      <w:r w:rsidRPr="00776A0F">
        <w:t>в соответствии со схемой, приведенной на</w:t>
      </w:r>
      <w:r w:rsidR="00491D60" w:rsidRPr="00776A0F">
        <w:t xml:space="preserve"> </w:t>
      </w:r>
      <w:r w:rsidR="0087278D">
        <w:t>р</w:t>
      </w:r>
      <w:r w:rsidR="00491D60" w:rsidRPr="00776A0F">
        <w:t>ис. 4</w:t>
      </w:r>
      <w:r w:rsidR="00D34AD9" w:rsidRPr="00776A0F">
        <w:t>.</w:t>
      </w:r>
      <w:r w:rsidRPr="00776A0F">
        <w:t xml:space="preserve"> </w:t>
      </w:r>
    </w:p>
    <w:p w14:paraId="6CC2957C" w14:textId="77777777" w:rsidR="00D34AD9" w:rsidRPr="00776A0F" w:rsidRDefault="00D34AD9" w:rsidP="00D34AD9">
      <w:pPr>
        <w:pStyle w:val="a3"/>
        <w:keepNext/>
        <w:spacing w:line="240" w:lineRule="auto"/>
        <w:ind w:firstLine="0"/>
      </w:pPr>
      <w:r w:rsidRPr="00776A0F">
        <w:rPr>
          <w:bCs/>
          <w:noProof/>
          <w:lang w:eastAsia="ru-RU"/>
        </w:rPr>
        <w:lastRenderedPageBreak/>
        <w:drawing>
          <wp:inline distT="0" distB="0" distL="0" distR="0" wp14:anchorId="42883E5E" wp14:editId="7FCD7EFA">
            <wp:extent cx="3089012" cy="7334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Схема измерений.png"/>
                    <pic:cNvPicPr/>
                  </pic:nvPicPr>
                  <pic:blipFill>
                    <a:blip r:embed="rId5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9012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DAD67" w14:textId="77777777" w:rsidR="00602EFA" w:rsidRPr="00776A0F" w:rsidRDefault="00D34AD9" w:rsidP="0087278D">
      <w:pPr>
        <w:pStyle w:val="a"/>
        <w:rPr>
          <w:i/>
        </w:rPr>
      </w:pPr>
      <w:r w:rsidRPr="00776A0F">
        <w:t>Схема измерений для оценки его статистических параметров однополосного сигнала телефонии</w:t>
      </w:r>
    </w:p>
    <w:p w14:paraId="5C225641" w14:textId="77777777" w:rsidR="008E7299" w:rsidRPr="00776A0F" w:rsidRDefault="000C553E" w:rsidP="00E1713B">
      <w:pPr>
        <w:pStyle w:val="a3"/>
      </w:pPr>
      <w:r w:rsidRPr="00776A0F">
        <w:t>Средний уровень человеческой речи составляет от 55 </w:t>
      </w:r>
      <w:proofErr w:type="spellStart"/>
      <w:r w:rsidRPr="00776A0F">
        <w:t>дБА</w:t>
      </w:r>
      <w:proofErr w:type="spellEnd"/>
      <w:r w:rsidRPr="00776A0F">
        <w:t xml:space="preserve"> до 75 </w:t>
      </w:r>
      <w:proofErr w:type="spellStart"/>
      <w:r w:rsidRPr="00776A0F">
        <w:t>дБА</w:t>
      </w:r>
      <w:proofErr w:type="spellEnd"/>
      <w:r w:rsidRPr="00776A0F">
        <w:t xml:space="preserve"> при </w:t>
      </w:r>
      <w:r w:rsidRPr="0087278D">
        <w:t>расположении</w:t>
      </w:r>
      <w:r w:rsidRPr="00776A0F">
        <w:t xml:space="preserve"> источника звука на расстоянии 1 м от слушателя [8].</w:t>
      </w:r>
      <w:r w:rsidR="008E7299" w:rsidRPr="00776A0F">
        <w:t xml:space="preserve"> При расположении рта оператора на расстоянии 5 см от гарнитуры это соответствует изменению уровня звукового давления</w:t>
      </w:r>
      <w:r w:rsidR="002803A6" w:rsidRPr="00776A0F">
        <w:t xml:space="preserve"> (УЗД)</w:t>
      </w:r>
      <w:r w:rsidR="00B83B06" w:rsidRPr="00776A0F">
        <w:t>, взвешенного по псофометрической кривой А</w:t>
      </w:r>
      <w:r w:rsidR="008E7299" w:rsidRPr="00776A0F">
        <w:t xml:space="preserve"> в пределах от 80 </w:t>
      </w:r>
      <w:proofErr w:type="spellStart"/>
      <w:r w:rsidR="008E7299" w:rsidRPr="00776A0F">
        <w:t>дБА</w:t>
      </w:r>
      <w:proofErr w:type="spellEnd"/>
      <w:r w:rsidR="008E7299" w:rsidRPr="00776A0F">
        <w:t xml:space="preserve"> до 100 </w:t>
      </w:r>
      <w:proofErr w:type="spellStart"/>
      <w:r w:rsidR="008E7299" w:rsidRPr="00776A0F">
        <w:t>дБА</w:t>
      </w:r>
      <w:proofErr w:type="spellEnd"/>
      <w:r w:rsidR="008E7299" w:rsidRPr="00776A0F">
        <w:t xml:space="preserve">, что в процессе проведения измерений контролировалось шумомером. </w:t>
      </w:r>
      <w:r w:rsidR="001146BC" w:rsidRPr="00776A0F">
        <w:t xml:space="preserve">Запись выходного сигнала велась запоминающим анализатором спектра в полосе </w:t>
      </w:r>
      <w:r w:rsidR="001146BC" w:rsidRPr="00776A0F">
        <w:rPr>
          <w:lang w:val="en-US"/>
        </w:rPr>
        <w:t>RBW</w:t>
      </w:r>
      <w:r w:rsidR="001146BC" w:rsidRPr="00776A0F">
        <w:t xml:space="preserve"> = 3 кГц в режиме детектирования, что позволило </w:t>
      </w:r>
      <w:r w:rsidR="001146BC" w:rsidRPr="00E1713B">
        <w:t>существенно</w:t>
      </w:r>
      <w:r w:rsidR="001146BC" w:rsidRPr="00776A0F">
        <w:t xml:space="preserve"> сократить требуемое количество отсчетов для общей продолжительности записи в пределах требуемых 10 с.</w:t>
      </w:r>
    </w:p>
    <w:p w14:paraId="2C53F5F9" w14:textId="77777777" w:rsidR="002803A6" w:rsidRPr="00776A0F" w:rsidRDefault="00E7007B" w:rsidP="00E1713B">
      <w:pPr>
        <w:pStyle w:val="a3"/>
        <w:rPr>
          <w:lang w:eastAsia="ru-RU"/>
        </w:rPr>
      </w:pPr>
      <w:r w:rsidRPr="00776A0F">
        <w:rPr>
          <w:bCs/>
        </w:rPr>
        <w:t xml:space="preserve">На </w:t>
      </w:r>
      <w:r w:rsidR="002864A6">
        <w:rPr>
          <w:bCs/>
        </w:rPr>
        <w:t>р</w:t>
      </w:r>
      <w:r w:rsidRPr="00776A0F">
        <w:rPr>
          <w:bCs/>
        </w:rPr>
        <w:t>ис.</w:t>
      </w:r>
      <w:r w:rsidR="002864A6">
        <w:rPr>
          <w:bCs/>
        </w:rPr>
        <w:t> </w:t>
      </w:r>
      <w:r w:rsidRPr="00776A0F">
        <w:rPr>
          <w:bCs/>
        </w:rPr>
        <w:t>5</w:t>
      </w:r>
      <w:r w:rsidR="002803A6" w:rsidRPr="00776A0F">
        <w:rPr>
          <w:bCs/>
        </w:rPr>
        <w:t xml:space="preserve"> приведены </w:t>
      </w:r>
      <w:r w:rsidR="002803A6" w:rsidRPr="002864A6">
        <w:t>рассчитанные</w:t>
      </w:r>
      <w:r w:rsidR="002803A6" w:rsidRPr="00776A0F">
        <w:rPr>
          <w:bCs/>
        </w:rPr>
        <w:t xml:space="preserve"> по результатам измерений зависимости параметров </w:t>
      </w:r>
      <w:r w:rsidR="002803A6" w:rsidRPr="00776A0F">
        <w:rPr>
          <w:position w:val="-10"/>
          <w:lang w:eastAsia="ru-RU"/>
        </w:rPr>
        <w:object w:dxaOrig="620" w:dyaOrig="380" w14:anchorId="098D2D11">
          <v:shape id="_x0000_i1044" type="#_x0000_t75" style="width:31.8pt;height:17.4pt" o:ole="">
            <v:imagedata r:id="rId18" o:title=""/>
          </v:shape>
          <o:OLEObject Type="Embed" ProgID="Equation.DSMT4" ShapeID="_x0000_i1044" DrawAspect="Content" ObjectID="_1837860701" r:id="rId52"/>
        </w:object>
      </w:r>
      <w:r w:rsidR="002803A6" w:rsidRPr="00776A0F">
        <w:rPr>
          <w:lang w:eastAsia="ru-RU"/>
        </w:rPr>
        <w:t>,</w:t>
      </w:r>
      <w:r w:rsidR="002803A6" w:rsidRPr="00776A0F">
        <w:rPr>
          <w:position w:val="-14"/>
          <w:lang w:eastAsia="ru-RU"/>
        </w:rPr>
        <w:object w:dxaOrig="760" w:dyaOrig="420" w14:anchorId="08069C8D">
          <v:shape id="_x0000_i1045" type="#_x0000_t75" style="width:39.6pt;height:19.8pt" o:ole="">
            <v:imagedata r:id="rId20" o:title=""/>
          </v:shape>
          <o:OLEObject Type="Embed" ProgID="Equation.DSMT4" ShapeID="_x0000_i1045" DrawAspect="Content" ObjectID="_1837860702" r:id="rId53"/>
        </w:object>
      </w:r>
      <w:r w:rsidR="002803A6" w:rsidRPr="00776A0F">
        <w:rPr>
          <w:lang w:eastAsia="ru-RU"/>
        </w:rPr>
        <w:t xml:space="preserve"> и </w:t>
      </w:r>
      <w:r w:rsidR="002803A6" w:rsidRPr="00776A0F">
        <w:rPr>
          <w:position w:val="-16"/>
          <w:lang w:eastAsia="ru-RU"/>
        </w:rPr>
        <w:object w:dxaOrig="420" w:dyaOrig="420" w14:anchorId="00B0899E">
          <v:shape id="_x0000_i1046" type="#_x0000_t75" style="width:19.8pt;height:19.8pt" o:ole="">
            <v:imagedata r:id="rId27" o:title=""/>
          </v:shape>
          <o:OLEObject Type="Embed" ProgID="Equation.DSMT4" ShapeID="_x0000_i1046" DrawAspect="Content" ObjectID="_1837860703" r:id="rId54"/>
        </w:object>
      </w:r>
      <w:r w:rsidR="002803A6" w:rsidRPr="00776A0F">
        <w:rPr>
          <w:lang w:eastAsia="ru-RU"/>
        </w:rPr>
        <w:t xml:space="preserve"> от УЗД оператора на расстоянии 5 см от </w:t>
      </w:r>
      <w:r w:rsidR="002803A6" w:rsidRPr="00E1713B">
        <w:t>гарнитуры</w:t>
      </w:r>
      <w:r w:rsidR="002803A6" w:rsidRPr="00776A0F">
        <w:rPr>
          <w:lang w:eastAsia="ru-RU"/>
        </w:rPr>
        <w:t>.</w:t>
      </w:r>
    </w:p>
    <w:p w14:paraId="2C101CB0" w14:textId="77777777" w:rsidR="00491D60" w:rsidRPr="00776A0F" w:rsidRDefault="00830DD3" w:rsidP="00491D60">
      <w:pPr>
        <w:pStyle w:val="a3"/>
        <w:keepNext/>
        <w:spacing w:line="240" w:lineRule="auto"/>
        <w:ind w:firstLine="0"/>
        <w:jc w:val="center"/>
      </w:pPr>
      <w:r w:rsidRPr="00776A0F">
        <w:rPr>
          <w:bCs/>
          <w:noProof/>
          <w:lang w:eastAsia="ru-RU"/>
        </w:rPr>
        <w:drawing>
          <wp:inline distT="0" distB="0" distL="0" distR="0" wp14:anchorId="0F9C3550" wp14:editId="01F2D5E7">
            <wp:extent cx="3108839" cy="17780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езультаты измерений.png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8298" cy="178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294D81" w14:textId="77777777" w:rsidR="002803A6" w:rsidRPr="00776A0F" w:rsidRDefault="00491D60" w:rsidP="0087278D">
      <w:pPr>
        <w:pStyle w:val="a"/>
        <w:rPr>
          <w:i/>
        </w:rPr>
      </w:pPr>
      <w:r w:rsidRPr="00776A0F">
        <w:t>Зависимости статистических параметров измеренного однополосного сигнала телефонии от УЗД</w:t>
      </w:r>
      <w:r w:rsidR="00937B10" w:rsidRPr="00776A0F">
        <w:t xml:space="preserve"> в точке гарнитуры</w:t>
      </w:r>
    </w:p>
    <w:p w14:paraId="288EFEDE" w14:textId="77777777" w:rsidR="00EF3997" w:rsidRPr="00776A0F" w:rsidRDefault="00EF3997" w:rsidP="0087278D">
      <w:pPr>
        <w:pStyle w:val="a3"/>
      </w:pPr>
      <w:proofErr w:type="gramStart"/>
      <w:r w:rsidRPr="00776A0F">
        <w:t xml:space="preserve">В отличие от значений параметров смоделированного сигнала, значения </w:t>
      </w:r>
      <w:r w:rsidR="00503237" w:rsidRPr="00776A0F">
        <w:t>стандартного отклонения</w:t>
      </w:r>
      <w:r w:rsidRPr="00776A0F">
        <w:t xml:space="preserve"> и верхнего дециля измеренного сигнала изменяются в существенно меньших пределах при изменении УЗД входного речевого сигнала, что</w:t>
      </w:r>
      <w:r w:rsidR="0009527C" w:rsidRPr="00776A0F">
        <w:t xml:space="preserve">, возможно, определяется </w:t>
      </w:r>
      <w:r w:rsidR="0009527C" w:rsidRPr="0087278D">
        <w:t>соответствующими</w:t>
      </w:r>
      <w:r w:rsidR="0009527C" w:rsidRPr="00776A0F">
        <w:t xml:space="preserve"> схемотехническими решениями, и</w:t>
      </w:r>
      <w:r w:rsidR="002063F1" w:rsidRPr="00776A0F">
        <w:t>, соответственно,</w:t>
      </w:r>
      <w:r w:rsidRPr="00776A0F">
        <w:t xml:space="preserve"> дает основания </w:t>
      </w:r>
      <w:r w:rsidR="002063F1" w:rsidRPr="00776A0F">
        <w:t>для последующего проведения аналогичных экспериментов на ряде различных ПРДУ береговых станций с оценкой</w:t>
      </w:r>
      <w:r w:rsidRPr="00776A0F">
        <w:t xml:space="preserve"> принципиальн</w:t>
      </w:r>
      <w:r w:rsidR="002063F1" w:rsidRPr="00776A0F">
        <w:t>ой</w:t>
      </w:r>
      <w:r w:rsidRPr="00776A0F">
        <w:t xml:space="preserve"> возможност</w:t>
      </w:r>
      <w:r w:rsidR="002063F1" w:rsidRPr="00776A0F">
        <w:t>и</w:t>
      </w:r>
      <w:r w:rsidRPr="00776A0F">
        <w:t xml:space="preserve"> предварительного определения значений этих параметров на некотором </w:t>
      </w:r>
      <w:r w:rsidR="002063F1" w:rsidRPr="00776A0F">
        <w:t xml:space="preserve">фиксированном </w:t>
      </w:r>
      <w:r w:rsidRPr="00776A0F">
        <w:t>уровне</w:t>
      </w:r>
      <w:proofErr w:type="gramEnd"/>
      <w:r w:rsidRPr="00776A0F">
        <w:t xml:space="preserve"> (например, </w:t>
      </w:r>
      <w:r w:rsidRPr="00776A0F">
        <w:rPr>
          <w:position w:val="-14"/>
          <w:szCs w:val="22"/>
          <w:lang w:eastAsia="ru-RU"/>
        </w:rPr>
        <w:object w:dxaOrig="760" w:dyaOrig="420" w14:anchorId="3E2DEABA">
          <v:shape id="_x0000_i1047" type="#_x0000_t75" style="width:39.6pt;height:19.8pt" o:ole="">
            <v:imagedata r:id="rId20" o:title=""/>
          </v:shape>
          <o:OLEObject Type="Embed" ProgID="Equation.DSMT4" ShapeID="_x0000_i1047" DrawAspect="Content" ObjectID="_1837860704" r:id="rId56"/>
        </w:object>
      </w:r>
      <w:r w:rsidRPr="00776A0F">
        <w:rPr>
          <w:rFonts w:ascii="Verdana" w:hAnsi="Verdana"/>
          <w:szCs w:val="22"/>
          <w:lang w:eastAsia="ru-RU"/>
        </w:rPr>
        <w:t>≈</w:t>
      </w:r>
      <w:r w:rsidRPr="00776A0F">
        <w:rPr>
          <w:szCs w:val="22"/>
          <w:lang w:eastAsia="ru-RU"/>
        </w:rPr>
        <w:t xml:space="preserve"> 12 дБ и </w:t>
      </w:r>
      <w:r w:rsidRPr="00776A0F">
        <w:rPr>
          <w:position w:val="-10"/>
          <w:szCs w:val="22"/>
          <w:lang w:eastAsia="ru-RU"/>
        </w:rPr>
        <w:object w:dxaOrig="620" w:dyaOrig="380" w14:anchorId="0292BF03">
          <v:shape id="_x0000_i1048" type="#_x0000_t75" style="width:31.8pt;height:17.4pt" o:ole="">
            <v:imagedata r:id="rId18" o:title=""/>
          </v:shape>
          <o:OLEObject Type="Embed" ProgID="Equation.DSMT4" ShapeID="_x0000_i1048" DrawAspect="Content" ObjectID="_1837860705" r:id="rId57"/>
        </w:object>
      </w:r>
      <w:r w:rsidRPr="00776A0F">
        <w:rPr>
          <w:rFonts w:ascii="Verdana" w:hAnsi="Verdana"/>
          <w:szCs w:val="22"/>
          <w:lang w:eastAsia="ru-RU"/>
        </w:rPr>
        <w:t>≈</w:t>
      </w:r>
      <w:r w:rsidR="002063F1" w:rsidRPr="00776A0F">
        <w:rPr>
          <w:szCs w:val="22"/>
          <w:lang w:eastAsia="ru-RU"/>
        </w:rPr>
        <w:t> 12</w:t>
      </w:r>
      <w:r w:rsidRPr="00776A0F">
        <w:rPr>
          <w:szCs w:val="22"/>
          <w:lang w:eastAsia="ru-RU"/>
        </w:rPr>
        <w:t xml:space="preserve"> дБ).</w:t>
      </w:r>
    </w:p>
    <w:p w14:paraId="10D45C8D" w14:textId="77777777" w:rsidR="006B3112" w:rsidRPr="00776A0F" w:rsidRDefault="00EF3997" w:rsidP="0087278D">
      <w:pPr>
        <w:pStyle w:val="a3"/>
        <w:rPr>
          <w:bCs/>
        </w:rPr>
      </w:pPr>
      <w:r w:rsidRPr="00776A0F">
        <w:rPr>
          <w:bCs/>
        </w:rPr>
        <w:t xml:space="preserve">Пик-фактор </w:t>
      </w:r>
      <w:r w:rsidRPr="00776A0F">
        <w:rPr>
          <w:position w:val="-16"/>
          <w:lang w:eastAsia="ru-RU"/>
        </w:rPr>
        <w:object w:dxaOrig="420" w:dyaOrig="420" w14:anchorId="52B6769C">
          <v:shape id="_x0000_i1049" type="#_x0000_t75" style="width:19.8pt;height:19.8pt" o:ole="">
            <v:imagedata r:id="rId27" o:title=""/>
          </v:shape>
          <o:OLEObject Type="Embed" ProgID="Equation.DSMT4" ShapeID="_x0000_i1049" DrawAspect="Content" ObjectID="_1837860706" r:id="rId58"/>
        </w:object>
      </w:r>
      <w:r w:rsidRPr="00776A0F">
        <w:rPr>
          <w:lang w:eastAsia="ru-RU"/>
        </w:rPr>
        <w:t xml:space="preserve"> при </w:t>
      </w:r>
      <w:r w:rsidRPr="0087278D">
        <w:t>измерениях</w:t>
      </w:r>
      <w:r w:rsidRPr="00776A0F">
        <w:rPr>
          <w:lang w:eastAsia="ru-RU"/>
        </w:rPr>
        <w:t xml:space="preserve"> имеет примерно такую же зависимость, как и при моделировании, однако этот параметр однозначно должен измеряться при натурных испытаниях для задания уровня мощности тестового сигнала не более</w:t>
      </w:r>
      <w:proofErr w:type="gramStart"/>
      <w:r w:rsidRPr="00776A0F">
        <w:rPr>
          <w:lang w:eastAsia="ru-RU"/>
        </w:rPr>
        <w:t>,</w:t>
      </w:r>
      <w:proofErr w:type="gramEnd"/>
      <w:r w:rsidRPr="00776A0F">
        <w:rPr>
          <w:lang w:eastAsia="ru-RU"/>
        </w:rPr>
        <w:t xml:space="preserve"> чем пиковая мощность ПРДУ, уменьшенная на </w:t>
      </w:r>
      <w:r w:rsidR="00000B6E" w:rsidRPr="00776A0F">
        <w:rPr>
          <w:lang w:eastAsia="ru-RU"/>
        </w:rPr>
        <w:t xml:space="preserve">фактическое </w:t>
      </w:r>
      <w:r w:rsidRPr="00776A0F">
        <w:rPr>
          <w:lang w:eastAsia="ru-RU"/>
        </w:rPr>
        <w:t>значение пик-фактора.</w:t>
      </w:r>
    </w:p>
    <w:p w14:paraId="3DEF3A4B" w14:textId="77777777" w:rsidR="00511DE1" w:rsidRPr="00776A0F" w:rsidRDefault="00511DE1" w:rsidP="0087278D">
      <w:pPr>
        <w:pStyle w:val="1"/>
      </w:pPr>
      <w:r w:rsidRPr="00776A0F">
        <w:lastRenderedPageBreak/>
        <w:t>распределени</w:t>
      </w:r>
      <w:r w:rsidR="00776A0F" w:rsidRPr="00776A0F">
        <w:t>е</w:t>
      </w:r>
      <w:r w:rsidRPr="00776A0F">
        <w:t xml:space="preserve"> огибающей однополосного сигнала</w:t>
      </w:r>
    </w:p>
    <w:p w14:paraId="1D9C1FC2" w14:textId="77777777" w:rsidR="007D2655" w:rsidRPr="00776A0F" w:rsidRDefault="00511DE1" w:rsidP="0087278D">
      <w:pPr>
        <w:pStyle w:val="a3"/>
      </w:pPr>
      <w:r w:rsidRPr="00776A0F">
        <w:t xml:space="preserve">Предварительно закон распределения огибающей однополосного сигнала принимается логарифмически нормальным, как наиболее часто используемый для определения распределений вероятностей распространения радиоволн, связанных с мощностью и напряженностью поля. Однако для проверки этой гипотезы на основе результатов измерений и моделирования были рассчитаны гистограммы </w:t>
      </w:r>
      <w:r w:rsidR="00503237" w:rsidRPr="00776A0F">
        <w:t>измеренных значений мощности</w:t>
      </w:r>
      <w:r w:rsidRPr="00776A0F">
        <w:t xml:space="preserve"> с определением среднего значения и </w:t>
      </w:r>
      <w:r w:rsidR="00503237" w:rsidRPr="00776A0F">
        <w:t>стандартного отклонения</w:t>
      </w:r>
      <w:r w:rsidRPr="00776A0F">
        <w:t xml:space="preserve"> натурального логарифма смоделированных и измеренных значений, </w:t>
      </w:r>
      <w:r w:rsidR="007D2655" w:rsidRPr="00776A0F">
        <w:t>и на их основе</w:t>
      </w:r>
      <w:r w:rsidRPr="00776A0F">
        <w:t xml:space="preserve"> построены </w:t>
      </w:r>
      <w:r w:rsidR="007D2655" w:rsidRPr="00776A0F">
        <w:t>соответствующие теоретические плотности вероятности</w:t>
      </w:r>
      <w:r w:rsidR="00E7007B" w:rsidRPr="00776A0F">
        <w:t xml:space="preserve"> </w:t>
      </w:r>
      <w:r w:rsidR="008C294D" w:rsidRPr="00776A0F">
        <w:t xml:space="preserve">нормального закона распределения </w:t>
      </w:r>
      <w:r w:rsidR="00E7007B" w:rsidRPr="00776A0F">
        <w:t>(</w:t>
      </w:r>
      <w:r w:rsidR="0087278D">
        <w:t>р</w:t>
      </w:r>
      <w:r w:rsidR="00E7007B" w:rsidRPr="00776A0F">
        <w:t>ис. 6)</w:t>
      </w:r>
      <w:r w:rsidR="007D2655" w:rsidRPr="00776A0F">
        <w:t>.</w:t>
      </w:r>
      <w:r w:rsidR="0025690E" w:rsidRPr="00776A0F">
        <w:t xml:space="preserve"> </w:t>
      </w:r>
    </w:p>
    <w:p w14:paraId="097B22CE" w14:textId="77777777" w:rsidR="006B3112" w:rsidRPr="00776A0F" w:rsidRDefault="00C86F3B" w:rsidP="00E1713B">
      <w:pPr>
        <w:pStyle w:val="a3"/>
        <w:tabs>
          <w:tab w:val="left" w:pos="3969"/>
        </w:tabs>
        <w:spacing w:line="240" w:lineRule="auto"/>
        <w:ind w:firstLine="0"/>
        <w:jc w:val="center"/>
        <w:rPr>
          <w:bCs/>
        </w:rPr>
      </w:pPr>
      <w:r w:rsidRPr="00776A0F">
        <w:rPr>
          <w:noProof/>
          <w:lang w:eastAsia="ru-RU"/>
        </w:rPr>
        <w:drawing>
          <wp:inline distT="0" distB="0" distL="0" distR="0" wp14:anchorId="3CF11212" wp14:editId="074F0D64">
            <wp:extent cx="2772810" cy="1914504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2810" cy="1914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2FDB2" w14:textId="77777777" w:rsidR="00DA4335" w:rsidRPr="00776A0F" w:rsidRDefault="00DA4335" w:rsidP="00DA4335">
      <w:pPr>
        <w:pStyle w:val="a3"/>
        <w:keepNext/>
        <w:spacing w:line="240" w:lineRule="auto"/>
        <w:ind w:firstLine="0"/>
        <w:jc w:val="center"/>
      </w:pPr>
      <w:r w:rsidRPr="00776A0F">
        <w:rPr>
          <w:bCs/>
          <w:noProof/>
          <w:lang w:eastAsia="ru-RU"/>
        </w:rPr>
        <w:drawing>
          <wp:inline distT="0" distB="0" distL="0" distR="0" wp14:anchorId="7EC1686D" wp14:editId="34E73634">
            <wp:extent cx="2841784" cy="19875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 в_г. Гистограммы.png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6574" cy="199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B6CBB" w14:textId="77777777" w:rsidR="00DA4335" w:rsidRPr="00776A0F" w:rsidRDefault="0025690E" w:rsidP="0087278D">
      <w:pPr>
        <w:pStyle w:val="a"/>
        <w:rPr>
          <w:i/>
        </w:rPr>
      </w:pPr>
      <w:r w:rsidRPr="00776A0F">
        <w:t xml:space="preserve">Гистограммы </w:t>
      </w:r>
      <w:r w:rsidR="008C294D" w:rsidRPr="00776A0F">
        <w:t xml:space="preserve">натурального логарифма выходного сигнала </w:t>
      </w:r>
      <w:r w:rsidRPr="00776A0F">
        <w:t>и расчетные плотности вероятности</w:t>
      </w:r>
      <w:r w:rsidR="008C294D" w:rsidRPr="00776A0F">
        <w:t xml:space="preserve"> нормального распределения</w:t>
      </w:r>
    </w:p>
    <w:p w14:paraId="67871E51" w14:textId="34B6F3B5" w:rsidR="00D34AD9" w:rsidRPr="00776A0F" w:rsidRDefault="00E7007B" w:rsidP="0087278D">
      <w:pPr>
        <w:pStyle w:val="a3"/>
      </w:pPr>
      <w:r w:rsidRPr="00776A0F">
        <w:t xml:space="preserve">Как следует из </w:t>
      </w:r>
      <w:r w:rsidR="0087278D">
        <w:t>р</w:t>
      </w:r>
      <w:r w:rsidRPr="00776A0F">
        <w:t>ис.</w:t>
      </w:r>
      <w:r w:rsidR="0087278D">
        <w:t xml:space="preserve"> </w:t>
      </w:r>
      <w:r w:rsidRPr="00776A0F">
        <w:t xml:space="preserve">6, при малых значениях УЗД входного </w:t>
      </w:r>
      <w:r w:rsidRPr="0087278D">
        <w:t>сигнала</w:t>
      </w:r>
      <w:r w:rsidRPr="00776A0F">
        <w:t xml:space="preserve"> закон распределения </w:t>
      </w:r>
      <w:r w:rsidR="00F16D8F" w:rsidRPr="00776A0F">
        <w:t xml:space="preserve">натурального </w:t>
      </w:r>
      <w:r w:rsidRPr="00776A0F">
        <w:t xml:space="preserve">логарифма огибающей выходного сигнала </w:t>
      </w:r>
      <w:r w:rsidR="00777CF0" w:rsidRPr="00776A0F">
        <w:t>практически</w:t>
      </w:r>
      <w:r w:rsidRPr="00776A0F">
        <w:t xml:space="preserve"> точно с</w:t>
      </w:r>
      <w:r w:rsidR="00F16D8F" w:rsidRPr="00776A0F">
        <w:t>огласуется с</w:t>
      </w:r>
      <w:r w:rsidRPr="00776A0F">
        <w:t xml:space="preserve"> нормальн</w:t>
      </w:r>
      <w:r w:rsidR="00F16D8F" w:rsidRPr="00776A0F">
        <w:t>ым</w:t>
      </w:r>
      <w:r w:rsidRPr="00776A0F">
        <w:t xml:space="preserve"> закон</w:t>
      </w:r>
      <w:r w:rsidR="00F16D8F" w:rsidRPr="00776A0F">
        <w:t>ом</w:t>
      </w:r>
      <w:r w:rsidRPr="00776A0F">
        <w:t xml:space="preserve"> распределения.</w:t>
      </w:r>
      <w:r w:rsidR="00777CF0" w:rsidRPr="00776A0F">
        <w:t xml:space="preserve"> При повышении УЗД модулирующего сигнала и, соответственно, вводимого амплитудного ограничения, плотность распределения больше концентрируется в области ограничения, однако во всем рассматриваемом диапазоне УЗД в пределах от 70 </w:t>
      </w:r>
      <w:proofErr w:type="spellStart"/>
      <w:r w:rsidR="00777CF0" w:rsidRPr="00776A0F">
        <w:t>дБА</w:t>
      </w:r>
      <w:proofErr w:type="spellEnd"/>
      <w:r w:rsidR="00777CF0" w:rsidRPr="00776A0F">
        <w:t xml:space="preserve"> до 100 </w:t>
      </w:r>
      <w:proofErr w:type="spellStart"/>
      <w:r w:rsidR="00777CF0" w:rsidRPr="00776A0F">
        <w:t>дБА</w:t>
      </w:r>
      <w:proofErr w:type="spellEnd"/>
      <w:r w:rsidR="00777CF0" w:rsidRPr="00776A0F">
        <w:t xml:space="preserve"> закон распределения натурального логарифма огибающей выходного сигнала </w:t>
      </w:r>
      <w:r w:rsidR="00EF3A70" w:rsidRPr="00776A0F">
        <w:t>на приемлемом уровне</w:t>
      </w:r>
      <w:r w:rsidR="00220B4A" w:rsidRPr="00776A0F">
        <w:t xml:space="preserve"> </w:t>
      </w:r>
      <w:r w:rsidR="00777CF0" w:rsidRPr="00776A0F">
        <w:t>согласуется с нормальным законом распределения по критерию χ</w:t>
      </w:r>
      <w:r w:rsidR="00777CF0" w:rsidRPr="00776A0F">
        <w:rPr>
          <w:vertAlign w:val="superscript"/>
        </w:rPr>
        <w:t>2</w:t>
      </w:r>
      <w:r w:rsidR="00777CF0" w:rsidRPr="00776A0F">
        <w:t xml:space="preserve">. </w:t>
      </w:r>
      <w:r w:rsidRPr="00776A0F">
        <w:t xml:space="preserve"> Соответственно, распределение огибающей самого выходного сигнала ПРДУ можно считать со</w:t>
      </w:r>
      <w:r w:rsidR="00777CF0" w:rsidRPr="00776A0F">
        <w:t>гласованным с</w:t>
      </w:r>
      <w:r w:rsidRPr="00776A0F">
        <w:t xml:space="preserve"> логарифмически нормальн</w:t>
      </w:r>
      <w:r w:rsidR="00777CF0" w:rsidRPr="00776A0F">
        <w:t>ым</w:t>
      </w:r>
      <w:r w:rsidRPr="00776A0F">
        <w:t xml:space="preserve"> закон</w:t>
      </w:r>
      <w:r w:rsidR="00777CF0" w:rsidRPr="00776A0F">
        <w:t>ом распределения.</w:t>
      </w:r>
      <w:r w:rsidRPr="00776A0F">
        <w:t xml:space="preserve"> </w:t>
      </w:r>
      <w:r w:rsidR="00777CF0" w:rsidRPr="00776A0F">
        <w:t xml:space="preserve">Таким </w:t>
      </w:r>
      <w:proofErr w:type="gramStart"/>
      <w:r w:rsidR="00777CF0" w:rsidRPr="00776A0F">
        <w:t>образом</w:t>
      </w:r>
      <w:proofErr w:type="gramEnd"/>
      <w:r w:rsidRPr="00776A0F">
        <w:t xml:space="preserve"> можно сделать вывод </w:t>
      </w:r>
      <w:r w:rsidR="00777CF0" w:rsidRPr="00776A0F">
        <w:t>о</w:t>
      </w:r>
      <w:r w:rsidRPr="00776A0F">
        <w:t xml:space="preserve"> допустимости представления помехи ПРДУ телефонии в виде еще </w:t>
      </w:r>
      <w:r w:rsidRPr="00776A0F">
        <w:lastRenderedPageBreak/>
        <w:t xml:space="preserve">одной составляющей шума при расчетах общего коэффициента шума в соответствии с </w:t>
      </w:r>
      <w:r w:rsidRPr="00776A0F">
        <w:fldChar w:fldCharType="begin"/>
      </w:r>
      <w:r w:rsidRPr="00776A0F">
        <w:instrText xml:space="preserve"> REF _Ref222929765 \r \h </w:instrText>
      </w:r>
      <w:r w:rsidR="008A29DC" w:rsidRPr="00776A0F">
        <w:instrText xml:space="preserve"> \* MERGEFORMAT </w:instrText>
      </w:r>
      <w:r w:rsidRPr="00776A0F">
        <w:fldChar w:fldCharType="separate"/>
      </w:r>
      <w:r w:rsidR="0085701D">
        <w:t>[3]</w:t>
      </w:r>
      <w:r w:rsidRPr="00776A0F">
        <w:fldChar w:fldCharType="end"/>
      </w:r>
      <w:r w:rsidRPr="00776A0F">
        <w:t>.</w:t>
      </w:r>
      <w:r w:rsidR="008C294D" w:rsidRPr="00776A0F">
        <w:t xml:space="preserve"> С увеличением УЗД входного сигнала и, соответственно, степени его ограничения, согласие натурального логарифма выходного сигнала нормальному закону снижается</w:t>
      </w:r>
      <w:r w:rsidR="006E0622" w:rsidRPr="00776A0F">
        <w:t xml:space="preserve"> и допустимость представления помехи ПРДУ телефонии в виде еще одной составляющей шума в </w:t>
      </w:r>
      <w:r w:rsidR="006E0622" w:rsidRPr="00776A0F">
        <w:rPr>
          <w:lang w:val="en-US"/>
        </w:rPr>
        <w:fldChar w:fldCharType="begin"/>
      </w:r>
      <w:r w:rsidR="006E0622" w:rsidRPr="00776A0F">
        <w:instrText xml:space="preserve"> REF _Ref222929765 \r \h </w:instrText>
      </w:r>
      <w:r w:rsidR="008A29DC" w:rsidRPr="00776A0F">
        <w:instrText xml:space="preserve"> \* </w:instrText>
      </w:r>
      <w:r w:rsidR="008A29DC" w:rsidRPr="00776A0F">
        <w:rPr>
          <w:lang w:val="en-US"/>
        </w:rPr>
        <w:instrText>MERGEFORMAT</w:instrText>
      </w:r>
      <w:r w:rsidR="008A29DC" w:rsidRPr="00776A0F">
        <w:instrText xml:space="preserve"> </w:instrText>
      </w:r>
      <w:r w:rsidR="006E0622" w:rsidRPr="00776A0F">
        <w:rPr>
          <w:lang w:val="en-US"/>
        </w:rPr>
      </w:r>
      <w:r w:rsidR="006E0622" w:rsidRPr="00776A0F">
        <w:rPr>
          <w:lang w:val="en-US"/>
        </w:rPr>
        <w:fldChar w:fldCharType="separate"/>
      </w:r>
      <w:r w:rsidR="0085701D">
        <w:t>[3]</w:t>
      </w:r>
      <w:r w:rsidR="006E0622" w:rsidRPr="00776A0F">
        <w:rPr>
          <w:lang w:val="en-US"/>
        </w:rPr>
        <w:fldChar w:fldCharType="end"/>
      </w:r>
      <w:r w:rsidR="006E0622" w:rsidRPr="00776A0F">
        <w:t xml:space="preserve"> требует дополнительных исследований.</w:t>
      </w:r>
    </w:p>
    <w:p w14:paraId="59E6D709" w14:textId="77777777" w:rsidR="009C6A70" w:rsidRDefault="009C6A70" w:rsidP="009C6A70">
      <w:pPr>
        <w:pStyle w:val="a3"/>
        <w:spacing w:line="240" w:lineRule="auto"/>
        <w:rPr>
          <w:bCs/>
        </w:rPr>
      </w:pPr>
      <w:r>
        <w:rPr>
          <w:bCs/>
        </w:rPr>
        <w:t xml:space="preserve">По результатам моделирования логарифм огибающей однополосного сигнала при модуляции эталонным речевым сигналом в пределах уровня амплитудного ограничения по НЧ </w:t>
      </w:r>
      <w:r w:rsidRPr="009C6A70">
        <w:rPr>
          <w:bCs/>
        </w:rPr>
        <w:t>до 100 дБ и по ВЧ до 25 дБ приемлемо</w:t>
      </w:r>
      <w:r>
        <w:rPr>
          <w:bCs/>
        </w:rPr>
        <w:t xml:space="preserve"> согласуется с нормальным законом распределения.</w:t>
      </w:r>
    </w:p>
    <w:p w14:paraId="1A7E999F" w14:textId="0503B8AA" w:rsidR="008A29DC" w:rsidRPr="00776A0F" w:rsidRDefault="00E1713B" w:rsidP="0087278D">
      <w:pPr>
        <w:pStyle w:val="1"/>
      </w:pPr>
      <w:r w:rsidRPr="00776A0F">
        <w:t>Заключение</w:t>
      </w:r>
    </w:p>
    <w:p w14:paraId="05D81D5E" w14:textId="2B03C960" w:rsidR="00ED69F4" w:rsidRPr="0087278D" w:rsidRDefault="00ED69F4" w:rsidP="0087278D">
      <w:pPr>
        <w:pStyle w:val="a3"/>
      </w:pPr>
      <w:r w:rsidRPr="00776A0F">
        <w:t xml:space="preserve">На основе полученных результатов в работе обоснована допустимость представления помехи от ПРДУ телефонии в качестве еще одной составляющей шума. </w:t>
      </w:r>
      <w:proofErr w:type="gramStart"/>
      <w:r w:rsidRPr="00776A0F">
        <w:t xml:space="preserve">При этом </w:t>
      </w:r>
      <w:r w:rsidR="00777CF0" w:rsidRPr="00776A0F">
        <w:t>во всем рассматриваемом диапазоне УЗД модулирующего сигнала</w:t>
      </w:r>
      <w:r w:rsidRPr="00776A0F">
        <w:t xml:space="preserve"> закон распределения </w:t>
      </w:r>
      <w:r w:rsidR="00777CF0" w:rsidRPr="00776A0F">
        <w:t xml:space="preserve">огибающей </w:t>
      </w:r>
      <w:r w:rsidRPr="00776A0F">
        <w:t xml:space="preserve">такой помехи </w:t>
      </w:r>
      <w:r w:rsidR="00777CF0" w:rsidRPr="00776A0F">
        <w:t xml:space="preserve">можно считать согласованным с </w:t>
      </w:r>
      <w:r w:rsidRPr="00776A0F">
        <w:t>логарифмически нормальным</w:t>
      </w:r>
      <w:r w:rsidR="00777CF0" w:rsidRPr="00776A0F">
        <w:t>,</w:t>
      </w:r>
      <w:r w:rsidRPr="00776A0F">
        <w:t xml:space="preserve"> и</w:t>
      </w:r>
      <w:r w:rsidR="007305EE" w:rsidRPr="00776A0F">
        <w:t xml:space="preserve"> при оценке ЭМС</w:t>
      </w:r>
      <w:r w:rsidRPr="00776A0F">
        <w:t xml:space="preserve"> в полной мере пользоваться методикой, приведенной в </w:t>
      </w:r>
      <w:r w:rsidRPr="00776A0F">
        <w:fldChar w:fldCharType="begin"/>
      </w:r>
      <w:r w:rsidRPr="00776A0F">
        <w:instrText xml:space="preserve"> REF _Ref222929765 \r \h </w:instrText>
      </w:r>
      <w:r w:rsidR="00850C7C" w:rsidRPr="00776A0F">
        <w:instrText xml:space="preserve"> \* MERGEFORMAT </w:instrText>
      </w:r>
      <w:r w:rsidRPr="00776A0F">
        <w:fldChar w:fldCharType="separate"/>
      </w:r>
      <w:r w:rsidR="0085701D">
        <w:t>[3]</w:t>
      </w:r>
      <w:r w:rsidRPr="00776A0F">
        <w:fldChar w:fldCharType="end"/>
      </w:r>
      <w:r w:rsidRPr="00776A0F">
        <w:t xml:space="preserve"> для р</w:t>
      </w:r>
      <w:r w:rsidR="007305EE" w:rsidRPr="00776A0F">
        <w:t>асчета общего коэффициента шума.</w:t>
      </w:r>
      <w:r w:rsidRPr="00776A0F">
        <w:t xml:space="preserve"> </w:t>
      </w:r>
      <w:proofErr w:type="gramEnd"/>
    </w:p>
    <w:p w14:paraId="4EEB3FE4" w14:textId="77777777" w:rsidR="00ED69F4" w:rsidRPr="00776A0F" w:rsidRDefault="00ED69F4" w:rsidP="0087278D">
      <w:pPr>
        <w:pStyle w:val="a3"/>
        <w:rPr>
          <w:szCs w:val="22"/>
          <w:lang w:eastAsia="ru-RU"/>
        </w:rPr>
      </w:pPr>
      <w:r w:rsidRPr="0087278D">
        <w:t>Моделирование и расчет параметров однополосного</w:t>
      </w:r>
      <w:r w:rsidRPr="00776A0F">
        <w:t xml:space="preserve"> сигнала показал, что параметры </w:t>
      </w:r>
      <w:r w:rsidRPr="00776A0F">
        <w:rPr>
          <w:position w:val="-10"/>
          <w:szCs w:val="22"/>
          <w:lang w:eastAsia="ru-RU"/>
        </w:rPr>
        <w:object w:dxaOrig="620" w:dyaOrig="380" w14:anchorId="3661DB3D">
          <v:shape id="_x0000_i1050" type="#_x0000_t75" style="width:31.8pt;height:17.4pt" o:ole="">
            <v:imagedata r:id="rId18" o:title=""/>
          </v:shape>
          <o:OLEObject Type="Embed" ProgID="Equation.DSMT4" ShapeID="_x0000_i1050" DrawAspect="Content" ObjectID="_1837860707" r:id="rId61"/>
        </w:object>
      </w:r>
      <w:r w:rsidRPr="00776A0F">
        <w:rPr>
          <w:szCs w:val="22"/>
          <w:lang w:eastAsia="ru-RU"/>
        </w:rPr>
        <w:t>,</w:t>
      </w:r>
      <w:r w:rsidRPr="00776A0F">
        <w:rPr>
          <w:position w:val="-14"/>
          <w:szCs w:val="22"/>
          <w:lang w:eastAsia="ru-RU"/>
        </w:rPr>
        <w:object w:dxaOrig="760" w:dyaOrig="420" w14:anchorId="6324867B">
          <v:shape id="_x0000_i1051" type="#_x0000_t75" style="width:39.6pt;height:19.8pt" o:ole="">
            <v:imagedata r:id="rId20" o:title=""/>
          </v:shape>
          <o:OLEObject Type="Embed" ProgID="Equation.DSMT4" ShapeID="_x0000_i1051" DrawAspect="Content" ObjectID="_1837860708" r:id="rId62"/>
        </w:object>
      </w:r>
      <w:r w:rsidRPr="00776A0F">
        <w:rPr>
          <w:szCs w:val="22"/>
          <w:lang w:eastAsia="ru-RU"/>
        </w:rPr>
        <w:t xml:space="preserve"> и </w:t>
      </w:r>
      <w:r w:rsidRPr="00776A0F">
        <w:rPr>
          <w:position w:val="-16"/>
          <w:szCs w:val="22"/>
          <w:lang w:eastAsia="ru-RU"/>
        </w:rPr>
        <w:object w:dxaOrig="420" w:dyaOrig="420" w14:anchorId="0B47F5ED">
          <v:shape id="_x0000_i1052" type="#_x0000_t75" style="width:19.8pt;height:19.8pt" o:ole="">
            <v:imagedata r:id="rId27" o:title=""/>
          </v:shape>
          <o:OLEObject Type="Embed" ProgID="Equation.DSMT4" ShapeID="_x0000_i1052" DrawAspect="Content" ObjectID="_1837860709" r:id="rId63"/>
        </w:object>
      </w:r>
      <w:r w:rsidRPr="00776A0F">
        <w:rPr>
          <w:szCs w:val="22"/>
          <w:lang w:eastAsia="ru-RU"/>
        </w:rPr>
        <w:t xml:space="preserve">существенно зависят как от уровня, так и от способа амплитудного ограничения модулирующего сигнала, что приводит к необходимости определения их в процессе проведения натурных испытаний. Однако экспериментальные измерения показали существенно меньшие пределы их изменения, что дает основания для предположения о принципиальной возможности </w:t>
      </w:r>
      <w:r w:rsidRPr="00776A0F">
        <w:rPr>
          <w:szCs w:val="22"/>
          <w:lang w:eastAsia="ru-RU"/>
        </w:rPr>
        <w:lastRenderedPageBreak/>
        <w:t>предварительного определения значений этих параметров на некотором фиксированном уровне, что, однако должно быть подтверждено дальнейшими исследованиями.</w:t>
      </w:r>
    </w:p>
    <w:p w14:paraId="31FEF621" w14:textId="0222D6E8" w:rsidR="00F2263A" w:rsidRPr="00776A0F" w:rsidRDefault="00F2263A" w:rsidP="00D30B7E">
      <w:pPr>
        <w:pStyle w:val="a3"/>
      </w:pPr>
      <w:r w:rsidRPr="00776A0F">
        <w:t xml:space="preserve">Определено, что значение </w:t>
      </w:r>
      <w:proofErr w:type="gramStart"/>
      <w:r w:rsidRPr="00776A0F">
        <w:t>пик-фактора</w:t>
      </w:r>
      <w:proofErr w:type="gramEnd"/>
      <w:r w:rsidRPr="00776A0F">
        <w:t xml:space="preserve"> </w:t>
      </w:r>
      <w:r w:rsidRPr="00776A0F">
        <w:rPr>
          <w:position w:val="-16"/>
          <w:szCs w:val="22"/>
          <w:lang w:eastAsia="ru-RU"/>
        </w:rPr>
        <w:object w:dxaOrig="420" w:dyaOrig="420" w14:anchorId="62B24562">
          <v:shape id="_x0000_i1053" type="#_x0000_t75" style="width:19.8pt;height:19.8pt" o:ole="">
            <v:imagedata r:id="rId27" o:title=""/>
          </v:shape>
          <o:OLEObject Type="Embed" ProgID="Equation.DSMT4" ShapeID="_x0000_i1053" DrawAspect="Content" ObjectID="_1837860710" r:id="rId64"/>
        </w:object>
      </w:r>
      <w:r w:rsidRPr="00776A0F">
        <w:rPr>
          <w:i/>
          <w:vertAlign w:val="subscript"/>
        </w:rPr>
        <w:t> </w:t>
      </w:r>
      <w:r w:rsidRPr="00E1713B">
        <w:t>= </w:t>
      </w:r>
      <w:r w:rsidRPr="00776A0F">
        <w:t xml:space="preserve">3 дБ, приведенного в </w:t>
      </w:r>
      <w:r w:rsidRPr="00776A0F">
        <w:fldChar w:fldCharType="begin"/>
      </w:r>
      <w:r w:rsidRPr="00776A0F">
        <w:instrText xml:space="preserve"> REF _Ref222929791 \r \h  \* MERGEFORMAT </w:instrText>
      </w:r>
      <w:r w:rsidRPr="00776A0F">
        <w:fldChar w:fldCharType="separate"/>
      </w:r>
      <w:r w:rsidR="0085701D">
        <w:t>[5]</w:t>
      </w:r>
      <w:r w:rsidRPr="00776A0F">
        <w:fldChar w:fldCharType="end"/>
      </w:r>
      <w:r w:rsidRPr="00776A0F">
        <w:t xml:space="preserve"> в качестве </w:t>
      </w:r>
      <w:r w:rsidR="0087278D">
        <w:t>«</w:t>
      </w:r>
      <w:r w:rsidRPr="00776A0F">
        <w:t>типичного значения</w:t>
      </w:r>
      <w:r w:rsidR="0087278D">
        <w:t>»</w:t>
      </w:r>
      <w:r w:rsidRPr="00776A0F">
        <w:t xml:space="preserve"> при определении требуемой мощности ПРДУ берегового базирования явно занижено, т.</w:t>
      </w:r>
      <w:r w:rsidR="0087278D">
        <w:t> </w:t>
      </w:r>
      <w:r w:rsidRPr="00776A0F">
        <w:t>к. на практике нереализуемо, приводит к существенному снижению разборчивости речи</w:t>
      </w:r>
      <w:r w:rsidR="00850C7C" w:rsidRPr="00776A0F">
        <w:t xml:space="preserve">. Применение такого </w:t>
      </w:r>
      <w:r w:rsidR="0087278D">
        <w:t>«</w:t>
      </w:r>
      <w:r w:rsidR="00850C7C" w:rsidRPr="00776A0F">
        <w:t>типичного значения</w:t>
      </w:r>
      <w:r w:rsidR="0087278D">
        <w:t>»</w:t>
      </w:r>
      <w:r w:rsidR="00850C7C" w:rsidRPr="00776A0F">
        <w:t xml:space="preserve"> </w:t>
      </w:r>
      <w:r w:rsidRPr="00776A0F">
        <w:t>при проектировании береговой станции МР А2 ГМССБ</w:t>
      </w:r>
      <w:r w:rsidR="00850C7C" w:rsidRPr="00776A0F">
        <w:t xml:space="preserve"> приводит к занижению требуемой мощности берегового ПРДУ и к снижению требуемой граничной дальности радиосвязи в направлении берег-судно.</w:t>
      </w:r>
    </w:p>
    <w:p w14:paraId="1D3523D6" w14:textId="77777777" w:rsidR="003915FB" w:rsidRPr="00776A0F" w:rsidRDefault="003915FB" w:rsidP="00D30B7E">
      <w:pPr>
        <w:pStyle w:val="5"/>
      </w:pPr>
      <w:r w:rsidRPr="00776A0F">
        <w:t>Список литературы</w:t>
      </w:r>
    </w:p>
    <w:p w14:paraId="1AAC8609" w14:textId="77777777" w:rsidR="00C7264C" w:rsidRPr="00A65B42" w:rsidRDefault="00C7264C" w:rsidP="0087278D">
      <w:pPr>
        <w:pStyle w:val="a0"/>
        <w:rPr>
          <w:lang w:val="en-US"/>
        </w:rPr>
      </w:pPr>
      <w:bookmarkStart w:id="1" w:name="_Ref222929745"/>
      <w:r w:rsidRPr="00A65B42">
        <w:rPr>
          <w:lang w:val="en-US"/>
        </w:rPr>
        <w:t>Spaulding A.D., Stewart F.G. An Updated Noise Model for Use in IONCAP // NTIA Report 87-212, 1987.</w:t>
      </w:r>
      <w:bookmarkEnd w:id="1"/>
    </w:p>
    <w:p w14:paraId="679ED112" w14:textId="77777777" w:rsidR="00C7264C" w:rsidRPr="00A65B42" w:rsidRDefault="00C7264C" w:rsidP="0087278D">
      <w:pPr>
        <w:pStyle w:val="a0"/>
        <w:rPr>
          <w:lang w:val="en-US"/>
        </w:rPr>
      </w:pPr>
      <w:bookmarkStart w:id="2" w:name="_Ref222929756"/>
      <w:r w:rsidRPr="00A65B42">
        <w:rPr>
          <w:lang w:val="en-US"/>
        </w:rPr>
        <w:t>Neudegg D. Statistical addition method for external noise sources affecting HF-MF-LF systems, Radio Science, Vol 36, pp1659-1667, 2001.</w:t>
      </w:r>
      <w:bookmarkEnd w:id="2"/>
    </w:p>
    <w:p w14:paraId="52C79C85" w14:textId="77777777" w:rsidR="00C7264C" w:rsidRPr="0087278D" w:rsidRDefault="00C7264C" w:rsidP="0087278D">
      <w:pPr>
        <w:pStyle w:val="a0"/>
      </w:pPr>
      <w:bookmarkStart w:id="3" w:name="_Ref222929765"/>
      <w:r w:rsidRPr="0087278D">
        <w:t>Рекомендация МСЭ-R P.372-17 (08/2024). Радиошум.</w:t>
      </w:r>
      <w:bookmarkEnd w:id="3"/>
    </w:p>
    <w:p w14:paraId="4ECC7341" w14:textId="77777777" w:rsidR="00C7264C" w:rsidRPr="0087278D" w:rsidRDefault="00C7264C" w:rsidP="0087278D">
      <w:pPr>
        <w:pStyle w:val="a0"/>
      </w:pPr>
      <w:bookmarkStart w:id="4" w:name="_Ref222929781"/>
      <w:r w:rsidRPr="0087278D">
        <w:t>Андреев В.С. Теория нелинейных электрических цепей: учебное пособие для вузов. М.: Радио и связь, 1982. 280 с.</w:t>
      </w:r>
      <w:bookmarkEnd w:id="4"/>
    </w:p>
    <w:p w14:paraId="146E75C2" w14:textId="77777777" w:rsidR="00C7264C" w:rsidRPr="0087278D" w:rsidRDefault="00C7264C" w:rsidP="0087278D">
      <w:pPr>
        <w:pStyle w:val="a0"/>
      </w:pPr>
      <w:bookmarkStart w:id="5" w:name="_Ref222929791"/>
      <w:r w:rsidRPr="0087278D">
        <w:t>Рекомендация МСЭ-R М.1467-1. (2000 – 2006). Предварительное определение границ действия для морской зоны А2 и NAVTEX и защита канала оповещения о бедствиях Глобальной морской системы для случаев бедствия и обеспечения безопасности (ГМСББ) в районе А2.</w:t>
      </w:r>
      <w:bookmarkEnd w:id="5"/>
    </w:p>
    <w:p w14:paraId="6CA85197" w14:textId="77777777" w:rsidR="00C7264C" w:rsidRPr="0087278D" w:rsidRDefault="00C7264C" w:rsidP="0087278D">
      <w:pPr>
        <w:pStyle w:val="a0"/>
      </w:pPr>
      <w:bookmarkStart w:id="6" w:name="_Ref222929800"/>
      <w:r w:rsidRPr="0087278D">
        <w:t>Рекомендация МСЭ-T P.50 (09/99). Искусственные голоса.</w:t>
      </w:r>
      <w:bookmarkEnd w:id="6"/>
    </w:p>
    <w:p w14:paraId="104EFDF4" w14:textId="77777777" w:rsidR="000C553E" w:rsidRPr="0087278D" w:rsidRDefault="000C553E" w:rsidP="0087278D">
      <w:pPr>
        <w:pStyle w:val="a0"/>
      </w:pPr>
      <w:bookmarkStart w:id="7" w:name="_Ref222929807"/>
      <w:r w:rsidRPr="0087278D">
        <w:t>Руководящий документ РД 31.6.02-01 Инструкция по несению радиовахты на судах Российской Федерации в системе ГМССБ, обеспечивающей безопасность на море.</w:t>
      </w:r>
      <w:bookmarkEnd w:id="7"/>
    </w:p>
    <w:p w14:paraId="417122ED" w14:textId="77777777" w:rsidR="0087278D" w:rsidRDefault="000C553E" w:rsidP="0087278D">
      <w:pPr>
        <w:pStyle w:val="a0"/>
      </w:pPr>
      <w:bookmarkStart w:id="8" w:name="_Ref222929717"/>
      <w:r w:rsidRPr="0087278D">
        <w:t>ГОСТ Р ИСО 24504—2015. Эргономическое проектирование. Уровни звукового давления речевых сообщений для продукции и систем</w:t>
      </w:r>
      <w:r w:rsidRPr="00776A0F">
        <w:t xml:space="preserve"> оповещения.</w:t>
      </w:r>
      <w:bookmarkEnd w:id="8"/>
      <w:r w:rsidRPr="00776A0F">
        <w:t xml:space="preserve"> </w:t>
      </w:r>
    </w:p>
    <w:p w14:paraId="2C55BB29" w14:textId="77777777" w:rsidR="0087278D" w:rsidRPr="0087278D" w:rsidRDefault="0087278D" w:rsidP="0087278D">
      <w:pPr>
        <w:sectPr w:rsidR="0087278D" w:rsidRPr="0087278D" w:rsidSect="007E4474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5FD1F19C" w14:textId="77777777" w:rsidR="0087278D" w:rsidRPr="0087278D" w:rsidRDefault="0087278D" w:rsidP="0087278D"/>
    <w:sectPr w:rsidR="0087278D" w:rsidRPr="0087278D" w:rsidSect="0087278D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96702E" w14:textId="77777777" w:rsidR="00472E74" w:rsidRDefault="00472E74" w:rsidP="00A93346">
      <w:r>
        <w:separator/>
      </w:r>
    </w:p>
  </w:endnote>
  <w:endnote w:type="continuationSeparator" w:id="0">
    <w:p w14:paraId="35BA6F9F" w14:textId="77777777" w:rsidR="00472E74" w:rsidRDefault="00472E74" w:rsidP="00A93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4301910"/>
      <w:docPartObj>
        <w:docPartGallery w:val="Page Numbers (Bottom of Page)"/>
        <w:docPartUnique/>
      </w:docPartObj>
    </w:sdtPr>
    <w:sdtContent>
      <w:p w14:paraId="40080609" w14:textId="39550C06" w:rsidR="00A93346" w:rsidRDefault="00A93346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269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74B022" w14:textId="77777777" w:rsidR="00472E74" w:rsidRDefault="00472E74" w:rsidP="00A93346">
      <w:r>
        <w:separator/>
      </w:r>
    </w:p>
  </w:footnote>
  <w:footnote w:type="continuationSeparator" w:id="0">
    <w:p w14:paraId="3B2A4270" w14:textId="77777777" w:rsidR="00472E74" w:rsidRDefault="00472E74" w:rsidP="00A933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14AEA6E0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1004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644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  <w:num w:numId="3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00B6E"/>
    <w:rsid w:val="00017B03"/>
    <w:rsid w:val="00051666"/>
    <w:rsid w:val="00052062"/>
    <w:rsid w:val="0007206C"/>
    <w:rsid w:val="0009527C"/>
    <w:rsid w:val="000C553E"/>
    <w:rsid w:val="000E774B"/>
    <w:rsid w:val="001146BC"/>
    <w:rsid w:val="0013123C"/>
    <w:rsid w:val="00150A37"/>
    <w:rsid w:val="001A3032"/>
    <w:rsid w:val="001C1D73"/>
    <w:rsid w:val="001C696C"/>
    <w:rsid w:val="001E14D5"/>
    <w:rsid w:val="002063F1"/>
    <w:rsid w:val="00207C5F"/>
    <w:rsid w:val="00220B4A"/>
    <w:rsid w:val="00252F87"/>
    <w:rsid w:val="0025690E"/>
    <w:rsid w:val="002803A6"/>
    <w:rsid w:val="002864A6"/>
    <w:rsid w:val="002B24FD"/>
    <w:rsid w:val="002D1CC4"/>
    <w:rsid w:val="002D540B"/>
    <w:rsid w:val="002F4079"/>
    <w:rsid w:val="003378F6"/>
    <w:rsid w:val="00372C8E"/>
    <w:rsid w:val="00373376"/>
    <w:rsid w:val="00377B44"/>
    <w:rsid w:val="003859B7"/>
    <w:rsid w:val="003915FB"/>
    <w:rsid w:val="003B689E"/>
    <w:rsid w:val="003D785D"/>
    <w:rsid w:val="004165FC"/>
    <w:rsid w:val="00420452"/>
    <w:rsid w:val="00472E74"/>
    <w:rsid w:val="0047652D"/>
    <w:rsid w:val="00491D60"/>
    <w:rsid w:val="004B14C2"/>
    <w:rsid w:val="004C40DB"/>
    <w:rsid w:val="004D7E92"/>
    <w:rsid w:val="00502710"/>
    <w:rsid w:val="00503237"/>
    <w:rsid w:val="00511DE1"/>
    <w:rsid w:val="00535924"/>
    <w:rsid w:val="00540E07"/>
    <w:rsid w:val="00556DDC"/>
    <w:rsid w:val="005630E7"/>
    <w:rsid w:val="00574CE7"/>
    <w:rsid w:val="005755E4"/>
    <w:rsid w:val="005963D0"/>
    <w:rsid w:val="005F0EA7"/>
    <w:rsid w:val="00602EFA"/>
    <w:rsid w:val="00676122"/>
    <w:rsid w:val="00685746"/>
    <w:rsid w:val="006B3112"/>
    <w:rsid w:val="006D605D"/>
    <w:rsid w:val="006E0622"/>
    <w:rsid w:val="006E7436"/>
    <w:rsid w:val="00711520"/>
    <w:rsid w:val="0071573A"/>
    <w:rsid w:val="007305EE"/>
    <w:rsid w:val="007316B2"/>
    <w:rsid w:val="00776A0F"/>
    <w:rsid w:val="00777CF0"/>
    <w:rsid w:val="00791CA2"/>
    <w:rsid w:val="007B6A69"/>
    <w:rsid w:val="007D2655"/>
    <w:rsid w:val="007E4474"/>
    <w:rsid w:val="00807D7B"/>
    <w:rsid w:val="00830DD3"/>
    <w:rsid w:val="00836A1E"/>
    <w:rsid w:val="00850C7C"/>
    <w:rsid w:val="0085701D"/>
    <w:rsid w:val="0087270B"/>
    <w:rsid w:val="0087278D"/>
    <w:rsid w:val="008834FE"/>
    <w:rsid w:val="008A29DC"/>
    <w:rsid w:val="008C294D"/>
    <w:rsid w:val="008C64AA"/>
    <w:rsid w:val="008E7299"/>
    <w:rsid w:val="00937B10"/>
    <w:rsid w:val="00940220"/>
    <w:rsid w:val="009C6A70"/>
    <w:rsid w:val="009F446D"/>
    <w:rsid w:val="00A16B2D"/>
    <w:rsid w:val="00A25034"/>
    <w:rsid w:val="00A2722D"/>
    <w:rsid w:val="00A65B42"/>
    <w:rsid w:val="00A93346"/>
    <w:rsid w:val="00AA1B42"/>
    <w:rsid w:val="00AB6E4C"/>
    <w:rsid w:val="00AC08AA"/>
    <w:rsid w:val="00AE6C42"/>
    <w:rsid w:val="00AF069A"/>
    <w:rsid w:val="00B66BDB"/>
    <w:rsid w:val="00B77B07"/>
    <w:rsid w:val="00B83B06"/>
    <w:rsid w:val="00BD2BC3"/>
    <w:rsid w:val="00C55998"/>
    <w:rsid w:val="00C612F7"/>
    <w:rsid w:val="00C7264C"/>
    <w:rsid w:val="00C824F8"/>
    <w:rsid w:val="00C83174"/>
    <w:rsid w:val="00C86F3B"/>
    <w:rsid w:val="00C903D0"/>
    <w:rsid w:val="00C9188D"/>
    <w:rsid w:val="00CC6D5A"/>
    <w:rsid w:val="00D30B7E"/>
    <w:rsid w:val="00D33561"/>
    <w:rsid w:val="00D34AD9"/>
    <w:rsid w:val="00D80951"/>
    <w:rsid w:val="00DA4335"/>
    <w:rsid w:val="00DA480C"/>
    <w:rsid w:val="00DA48A4"/>
    <w:rsid w:val="00DF376F"/>
    <w:rsid w:val="00E152C5"/>
    <w:rsid w:val="00E1713B"/>
    <w:rsid w:val="00E65334"/>
    <w:rsid w:val="00E7007B"/>
    <w:rsid w:val="00E76735"/>
    <w:rsid w:val="00EA0D51"/>
    <w:rsid w:val="00EC33D8"/>
    <w:rsid w:val="00EC44A2"/>
    <w:rsid w:val="00ED69F4"/>
    <w:rsid w:val="00EF3997"/>
    <w:rsid w:val="00EF3A70"/>
    <w:rsid w:val="00F05068"/>
    <w:rsid w:val="00F074EC"/>
    <w:rsid w:val="00F16D8F"/>
    <w:rsid w:val="00F20F9D"/>
    <w:rsid w:val="00F2263A"/>
    <w:rsid w:val="00F335C6"/>
    <w:rsid w:val="00F94F51"/>
    <w:rsid w:val="00FC5A25"/>
    <w:rsid w:val="00FF7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D3A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caption"/>
    <w:basedOn w:val="a2"/>
    <w:next w:val="a2"/>
    <w:uiPriority w:val="35"/>
    <w:unhideWhenUsed/>
    <w:qFormat/>
    <w:rsid w:val="00017B03"/>
    <w:pPr>
      <w:spacing w:after="200"/>
    </w:pPr>
    <w:rPr>
      <w:i/>
      <w:iCs/>
      <w:color w:val="1F497D" w:themeColor="text2"/>
      <w:sz w:val="18"/>
      <w:szCs w:val="18"/>
    </w:rPr>
  </w:style>
  <w:style w:type="character" w:styleId="af3">
    <w:name w:val="Hyperlink"/>
    <w:basedOn w:val="a4"/>
    <w:uiPriority w:val="99"/>
    <w:unhideWhenUsed/>
    <w:rsid w:val="003B689E"/>
    <w:rPr>
      <w:color w:val="0000FF" w:themeColor="hyperlink"/>
      <w:u w:val="single"/>
    </w:rPr>
  </w:style>
  <w:style w:type="character" w:styleId="af4">
    <w:name w:val="Placeholder Text"/>
    <w:basedOn w:val="a4"/>
    <w:uiPriority w:val="99"/>
    <w:semiHidden/>
    <w:rsid w:val="00777CF0"/>
    <w:rPr>
      <w:color w:val="808080"/>
    </w:rPr>
  </w:style>
  <w:style w:type="paragraph" w:styleId="af5">
    <w:name w:val="header"/>
    <w:basedOn w:val="a2"/>
    <w:link w:val="af6"/>
    <w:unhideWhenUsed/>
    <w:rsid w:val="00A93346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4"/>
    <w:link w:val="af5"/>
    <w:rsid w:val="00A93346"/>
    <w:rPr>
      <w:rFonts w:ascii="Times New Roman" w:hAnsi="Times New Roman" w:cs="Times New Roman"/>
      <w:sz w:val="20"/>
      <w:szCs w:val="20"/>
      <w:lang w:eastAsia="en-US"/>
    </w:rPr>
  </w:style>
  <w:style w:type="paragraph" w:styleId="af7">
    <w:name w:val="footer"/>
    <w:basedOn w:val="a2"/>
    <w:link w:val="af8"/>
    <w:uiPriority w:val="99"/>
    <w:unhideWhenUsed/>
    <w:rsid w:val="00A93346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4"/>
    <w:link w:val="af7"/>
    <w:uiPriority w:val="99"/>
    <w:rsid w:val="00A93346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caption"/>
    <w:basedOn w:val="a2"/>
    <w:next w:val="a2"/>
    <w:uiPriority w:val="35"/>
    <w:unhideWhenUsed/>
    <w:qFormat/>
    <w:rsid w:val="00017B03"/>
    <w:pPr>
      <w:spacing w:after="200"/>
    </w:pPr>
    <w:rPr>
      <w:i/>
      <w:iCs/>
      <w:color w:val="1F497D" w:themeColor="text2"/>
      <w:sz w:val="18"/>
      <w:szCs w:val="18"/>
    </w:rPr>
  </w:style>
  <w:style w:type="character" w:styleId="af3">
    <w:name w:val="Hyperlink"/>
    <w:basedOn w:val="a4"/>
    <w:uiPriority w:val="99"/>
    <w:unhideWhenUsed/>
    <w:rsid w:val="003B689E"/>
    <w:rPr>
      <w:color w:val="0000FF" w:themeColor="hyperlink"/>
      <w:u w:val="single"/>
    </w:rPr>
  </w:style>
  <w:style w:type="character" w:styleId="af4">
    <w:name w:val="Placeholder Text"/>
    <w:basedOn w:val="a4"/>
    <w:uiPriority w:val="99"/>
    <w:semiHidden/>
    <w:rsid w:val="00777CF0"/>
    <w:rPr>
      <w:color w:val="808080"/>
    </w:rPr>
  </w:style>
  <w:style w:type="paragraph" w:styleId="af5">
    <w:name w:val="header"/>
    <w:basedOn w:val="a2"/>
    <w:link w:val="af6"/>
    <w:unhideWhenUsed/>
    <w:rsid w:val="00A93346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4"/>
    <w:link w:val="af5"/>
    <w:rsid w:val="00A93346"/>
    <w:rPr>
      <w:rFonts w:ascii="Times New Roman" w:hAnsi="Times New Roman" w:cs="Times New Roman"/>
      <w:sz w:val="20"/>
      <w:szCs w:val="20"/>
      <w:lang w:eastAsia="en-US"/>
    </w:rPr>
  </w:style>
  <w:style w:type="paragraph" w:styleId="af7">
    <w:name w:val="footer"/>
    <w:basedOn w:val="a2"/>
    <w:link w:val="af8"/>
    <w:uiPriority w:val="99"/>
    <w:unhideWhenUsed/>
    <w:rsid w:val="00A93346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4"/>
    <w:link w:val="af7"/>
    <w:uiPriority w:val="99"/>
    <w:rsid w:val="00A93346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84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1.wdp"/><Relationship Id="rId18" Type="http://schemas.openxmlformats.org/officeDocument/2006/relationships/image" Target="media/image4.wmf"/><Relationship Id="rId26" Type="http://schemas.openxmlformats.org/officeDocument/2006/relationships/oleObject" Target="embeddings/oleObject6.bin"/><Relationship Id="rId39" Type="http://schemas.openxmlformats.org/officeDocument/2006/relationships/image" Target="media/image15.wmf"/><Relationship Id="rId21" Type="http://schemas.openxmlformats.org/officeDocument/2006/relationships/oleObject" Target="embeddings/oleObject4.bin"/><Relationship Id="rId34" Type="http://schemas.openxmlformats.org/officeDocument/2006/relationships/oleObject" Target="embeddings/oleObject10.bin"/><Relationship Id="rId42" Type="http://schemas.openxmlformats.org/officeDocument/2006/relationships/oleObject" Target="embeddings/oleObject14.bin"/><Relationship Id="rId47" Type="http://schemas.openxmlformats.org/officeDocument/2006/relationships/oleObject" Target="embeddings/oleObject17.bin"/><Relationship Id="rId50" Type="http://schemas.openxmlformats.org/officeDocument/2006/relationships/image" Target="media/image19.png"/><Relationship Id="rId55" Type="http://schemas.openxmlformats.org/officeDocument/2006/relationships/image" Target="media/image20.png"/><Relationship Id="rId63" Type="http://schemas.openxmlformats.org/officeDocument/2006/relationships/oleObject" Target="embeddings/oleObject28.bin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3.wmf"/><Relationship Id="rId20" Type="http://schemas.openxmlformats.org/officeDocument/2006/relationships/image" Target="media/image5.wmf"/><Relationship Id="rId29" Type="http://schemas.openxmlformats.org/officeDocument/2006/relationships/image" Target="media/image10.wmf"/><Relationship Id="rId41" Type="http://schemas.openxmlformats.org/officeDocument/2006/relationships/image" Target="media/image16.wmf"/><Relationship Id="rId54" Type="http://schemas.openxmlformats.org/officeDocument/2006/relationships/oleObject" Target="embeddings/oleObject22.bin"/><Relationship Id="rId62" Type="http://schemas.openxmlformats.org/officeDocument/2006/relationships/oleObject" Target="embeddings/oleObject27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novikovatv@nic-t.ru" TargetMode="External"/><Relationship Id="rId24" Type="http://schemas.openxmlformats.org/officeDocument/2006/relationships/image" Target="media/image8.png"/><Relationship Id="rId32" Type="http://schemas.openxmlformats.org/officeDocument/2006/relationships/oleObject" Target="embeddings/oleObject9.bin"/><Relationship Id="rId37" Type="http://schemas.openxmlformats.org/officeDocument/2006/relationships/image" Target="media/image14.wmf"/><Relationship Id="rId40" Type="http://schemas.openxmlformats.org/officeDocument/2006/relationships/oleObject" Target="embeddings/oleObject13.bin"/><Relationship Id="rId45" Type="http://schemas.openxmlformats.org/officeDocument/2006/relationships/image" Target="media/image18.wmf"/><Relationship Id="rId53" Type="http://schemas.openxmlformats.org/officeDocument/2006/relationships/oleObject" Target="embeddings/oleObject21.bin"/><Relationship Id="rId58" Type="http://schemas.openxmlformats.org/officeDocument/2006/relationships/oleObject" Target="embeddings/oleObject25.bin"/><Relationship Id="rId66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oleObject" Target="embeddings/oleObject1.bin"/><Relationship Id="rId23" Type="http://schemas.openxmlformats.org/officeDocument/2006/relationships/image" Target="media/image7.png"/><Relationship Id="rId28" Type="http://schemas.openxmlformats.org/officeDocument/2006/relationships/oleObject" Target="embeddings/oleObject7.bin"/><Relationship Id="rId36" Type="http://schemas.openxmlformats.org/officeDocument/2006/relationships/oleObject" Target="embeddings/oleObject11.bin"/><Relationship Id="rId49" Type="http://schemas.openxmlformats.org/officeDocument/2006/relationships/oleObject" Target="embeddings/oleObject19.bin"/><Relationship Id="rId57" Type="http://schemas.openxmlformats.org/officeDocument/2006/relationships/oleObject" Target="embeddings/oleObject24.bin"/><Relationship Id="rId61" Type="http://schemas.openxmlformats.org/officeDocument/2006/relationships/oleObject" Target="embeddings/oleObject26.bin"/><Relationship Id="rId10" Type="http://schemas.openxmlformats.org/officeDocument/2006/relationships/hyperlink" Target="mailto:gromozdinvv@nic-t.ru1" TargetMode="External"/><Relationship Id="rId19" Type="http://schemas.openxmlformats.org/officeDocument/2006/relationships/oleObject" Target="embeddings/oleObject3.bin"/><Relationship Id="rId31" Type="http://schemas.openxmlformats.org/officeDocument/2006/relationships/image" Target="media/image11.wmf"/><Relationship Id="rId44" Type="http://schemas.openxmlformats.org/officeDocument/2006/relationships/oleObject" Target="embeddings/oleObject15.bin"/><Relationship Id="rId52" Type="http://schemas.openxmlformats.org/officeDocument/2006/relationships/oleObject" Target="embeddings/oleObject20.bin"/><Relationship Id="rId60" Type="http://schemas.openxmlformats.org/officeDocument/2006/relationships/image" Target="media/image22.png"/><Relationship Id="rId65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2.wmf"/><Relationship Id="rId22" Type="http://schemas.openxmlformats.org/officeDocument/2006/relationships/image" Target="media/image6.png"/><Relationship Id="rId27" Type="http://schemas.openxmlformats.org/officeDocument/2006/relationships/image" Target="media/image9.wmf"/><Relationship Id="rId30" Type="http://schemas.openxmlformats.org/officeDocument/2006/relationships/oleObject" Target="embeddings/oleObject8.bin"/><Relationship Id="rId35" Type="http://schemas.openxmlformats.org/officeDocument/2006/relationships/image" Target="media/image13.wmf"/><Relationship Id="rId43" Type="http://schemas.openxmlformats.org/officeDocument/2006/relationships/image" Target="media/image17.wmf"/><Relationship Id="rId48" Type="http://schemas.openxmlformats.org/officeDocument/2006/relationships/oleObject" Target="embeddings/oleObject18.bin"/><Relationship Id="rId56" Type="http://schemas.openxmlformats.org/officeDocument/2006/relationships/oleObject" Target="embeddings/oleObject23.bin"/><Relationship Id="rId64" Type="http://schemas.openxmlformats.org/officeDocument/2006/relationships/oleObject" Target="embeddings/oleObject29.bin"/><Relationship Id="rId8" Type="http://schemas.openxmlformats.org/officeDocument/2006/relationships/endnotes" Target="endnotes.xml"/><Relationship Id="rId51" Type="http://schemas.microsoft.com/office/2007/relationships/hdphoto" Target="media/hdphoto2.wdp"/><Relationship Id="rId3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oleObject" Target="embeddings/oleObject2.bin"/><Relationship Id="rId25" Type="http://schemas.openxmlformats.org/officeDocument/2006/relationships/oleObject" Target="embeddings/oleObject5.bin"/><Relationship Id="rId33" Type="http://schemas.openxmlformats.org/officeDocument/2006/relationships/image" Target="media/image12.wmf"/><Relationship Id="rId38" Type="http://schemas.openxmlformats.org/officeDocument/2006/relationships/oleObject" Target="embeddings/oleObject12.bin"/><Relationship Id="rId46" Type="http://schemas.openxmlformats.org/officeDocument/2006/relationships/oleObject" Target="embeddings/oleObject16.bin"/><Relationship Id="rId59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7093CF-06C0-4BB7-AAAA-94B6D5A9C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2335</Words>
  <Characters>13312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2026-04-16T11:56:00Z</dcterms:created>
  <dcterms:modified xsi:type="dcterms:W3CDTF">2026-04-16T11:56:00Z</dcterms:modified>
</cp:coreProperties>
</file>