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webextensions/taskpanes.xml" ContentType="application/vnd.ms-office.webextensiontaskpanes+xml"/>
  <Override PartName="/word/webextensions/webextension1.xml" ContentType="application/vnd.ms-office.webextension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11/relationships/webextensiontaskpanes" Target="word/webextensions/taskpanes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363F4" w14:textId="439D9DFD" w:rsidR="00341EDB" w:rsidRPr="00341EDB" w:rsidRDefault="00341EDB" w:rsidP="00F427D2">
      <w:pPr>
        <w:pStyle w:val="a7"/>
      </w:pPr>
      <w:r w:rsidRPr="00341EDB">
        <w:t>Корреляционный анализ данных ДЗЗ и магнитометрических измерений для выявления вклада наземных источников излучения в магнитную обстановку вблизи малого космического аппарата</w:t>
      </w:r>
    </w:p>
    <w:p w14:paraId="3401D164" w14:textId="00C8E5E8" w:rsidR="00736F3B" w:rsidRPr="00EA00CE" w:rsidRDefault="00736F3B" w:rsidP="00F427D2">
      <w:pPr>
        <w:pStyle w:val="aa"/>
      </w:pPr>
      <w:r w:rsidRPr="00736F3B">
        <w:t>Т.</w:t>
      </w:r>
      <w:r w:rsidR="00F427D2">
        <w:t xml:space="preserve"> </w:t>
      </w:r>
      <w:r w:rsidRPr="00736F3B">
        <w:t>Д. Станкевич</w:t>
      </w:r>
      <w:proofErr w:type="gramStart"/>
      <w:r w:rsidR="00EA00CE" w:rsidRPr="00EA00CE">
        <w:rPr>
          <w:vertAlign w:val="superscript"/>
        </w:rPr>
        <w:t>1</w:t>
      </w:r>
      <w:proofErr w:type="gramEnd"/>
      <w:r w:rsidRPr="00736F3B">
        <w:t>, А.</w:t>
      </w:r>
      <w:r w:rsidR="00F427D2">
        <w:t xml:space="preserve"> </w:t>
      </w:r>
      <w:r w:rsidRPr="00736F3B">
        <w:t>И. Ковалев</w:t>
      </w:r>
      <w:r w:rsidR="00EA00CE" w:rsidRPr="00EA00CE">
        <w:rPr>
          <w:vertAlign w:val="superscript"/>
        </w:rPr>
        <w:t>2</w:t>
      </w:r>
      <w:r w:rsidRPr="00736F3B">
        <w:t>, С.</w:t>
      </w:r>
      <w:r w:rsidR="00F427D2">
        <w:t xml:space="preserve"> </w:t>
      </w:r>
      <w:r w:rsidRPr="00736F3B">
        <w:t>О. Мельников</w:t>
      </w:r>
      <w:r w:rsidR="00EA00CE" w:rsidRPr="00EA00CE">
        <w:rPr>
          <w:vertAlign w:val="superscript"/>
        </w:rPr>
        <w:t>3</w:t>
      </w:r>
    </w:p>
    <w:p w14:paraId="0C5DF1C6" w14:textId="44588B12" w:rsidR="00736F3B" w:rsidRPr="00EA00CE" w:rsidRDefault="00736F3B" w:rsidP="00F427D2">
      <w:pPr>
        <w:pStyle w:val="ab"/>
      </w:pPr>
      <w:r w:rsidRPr="00736F3B">
        <w:t>Санкт-Петербургский политехнический университет Петра Великого</w:t>
      </w:r>
    </w:p>
    <w:p w14:paraId="681B7EBD" w14:textId="68C217AC" w:rsidR="00736F3B" w:rsidRDefault="00EA00CE" w:rsidP="00F427D2">
      <w:pPr>
        <w:pStyle w:val="ac"/>
        <w:spacing w:after="0"/>
        <w:rPr>
          <w:lang w:val="ru-RU"/>
        </w:rPr>
      </w:pPr>
      <w:r w:rsidRPr="00EA00CE">
        <w:rPr>
          <w:vertAlign w:val="superscript"/>
        </w:rPr>
        <w:t>1</w:t>
      </w:r>
      <w:r w:rsidR="005D4923" w:rsidRPr="00EA00CE">
        <w:t xml:space="preserve">stankevich.td@edu.spbstu.ru, </w:t>
      </w:r>
      <w:r w:rsidRPr="00EA00CE">
        <w:rPr>
          <w:vertAlign w:val="superscript"/>
        </w:rPr>
        <w:t>2</w:t>
      </w:r>
      <w:r w:rsidRPr="00EA00CE">
        <w:t xml:space="preserve">u1669k@gmail.com, </w:t>
      </w:r>
      <w:r w:rsidRPr="00EA00CE">
        <w:rPr>
          <w:vertAlign w:val="superscript"/>
        </w:rPr>
        <w:t>3</w:t>
      </w:r>
      <w:r w:rsidRPr="00EA00CE">
        <w:t>7atom7@mail.ru</w:t>
      </w:r>
    </w:p>
    <w:p w14:paraId="36289474" w14:textId="77777777" w:rsidR="00F427D2" w:rsidRPr="00F427D2" w:rsidRDefault="00F427D2" w:rsidP="00F427D2">
      <w:pPr>
        <w:pStyle w:val="ac"/>
        <w:rPr>
          <w:lang w:val="ru-RU"/>
        </w:rPr>
        <w:sectPr w:rsidR="00F427D2" w:rsidRPr="00F427D2" w:rsidSect="00B12A35">
          <w:footerReference w:type="default" r:id="rId8"/>
          <w:pgSz w:w="11906" w:h="16838" w:code="9"/>
          <w:pgMar w:top="907" w:right="907" w:bottom="1440" w:left="907" w:header="709" w:footer="709" w:gutter="0"/>
          <w:pgNumType w:start="256"/>
          <w:cols w:space="708"/>
          <w:docGrid w:linePitch="360"/>
        </w:sectPr>
      </w:pPr>
    </w:p>
    <w:p w14:paraId="03A9A504" w14:textId="77777777" w:rsidR="0013123C" w:rsidRPr="00EA00CE" w:rsidRDefault="0013123C" w:rsidP="009101B9">
      <w:pPr>
        <w:jc w:val="both"/>
      </w:pPr>
    </w:p>
    <w:p w14:paraId="62EA8F0D" w14:textId="77777777" w:rsidR="00736F3B" w:rsidRPr="00EA00CE" w:rsidRDefault="00736F3B" w:rsidP="009101B9">
      <w:pPr>
        <w:jc w:val="both"/>
        <w:sectPr w:rsidR="00736F3B" w:rsidRPr="00EA00CE" w:rsidSect="00D80951">
          <w:type w:val="continuous"/>
          <w:pgSz w:w="11906" w:h="16838" w:code="9"/>
          <w:pgMar w:top="907" w:right="907" w:bottom="1440" w:left="907" w:header="709" w:footer="709" w:gutter="0"/>
          <w:cols w:space="708"/>
          <w:docGrid w:linePitch="360"/>
        </w:sectPr>
      </w:pPr>
    </w:p>
    <w:p w14:paraId="5B7ED0B8" w14:textId="606859D6" w:rsidR="0013123C" w:rsidRDefault="0013123C" w:rsidP="009101B9">
      <w:pPr>
        <w:pStyle w:val="ad"/>
        <w:rPr>
          <w:rFonts w:eastAsia="MS Mincho"/>
        </w:rPr>
      </w:pPr>
      <w:r w:rsidRPr="00AE6C42">
        <w:rPr>
          <w:i/>
        </w:rPr>
        <w:lastRenderedPageBreak/>
        <w:t>Аннотация</w:t>
      </w:r>
      <w:r w:rsidRPr="00791CA2">
        <w:rPr>
          <w:i/>
        </w:rPr>
        <w:t xml:space="preserve">. </w:t>
      </w:r>
      <w:r w:rsidR="00341EDB" w:rsidRPr="00341EDB">
        <w:rPr>
          <w:rFonts w:eastAsia="MS Mincho"/>
        </w:rPr>
        <w:t xml:space="preserve">В работе исследуется зависимость между электромагнитным излучением (ЭМИ) наземных источников и локальными возмущениями магнитного поля в окрестности малого космического аппарата (МКА). Проведен сравнительный анализ временных рядов данных прибора IDF3 (спутник </w:t>
      </w:r>
      <w:proofErr w:type="spellStart"/>
      <w:r w:rsidR="00341EDB" w:rsidRPr="00341EDB">
        <w:rPr>
          <w:rFonts w:eastAsia="MS Mincho"/>
        </w:rPr>
        <w:t>Polytech</w:t>
      </w:r>
      <w:proofErr w:type="spellEnd"/>
      <w:r w:rsidR="00341EDB" w:rsidRPr="00341EDB">
        <w:rPr>
          <w:rFonts w:eastAsia="MS Mincho"/>
        </w:rPr>
        <w:t xml:space="preserve"> Universe-3) и бортового трехкомпонентного магнитометра (спутник </w:t>
      </w:r>
      <w:proofErr w:type="spellStart"/>
      <w:r w:rsidR="00341EDB" w:rsidRPr="00341EDB">
        <w:rPr>
          <w:rFonts w:eastAsia="MS Mincho"/>
        </w:rPr>
        <w:t>Polytech</w:t>
      </w:r>
      <w:proofErr w:type="spellEnd"/>
      <w:r w:rsidR="00341EDB" w:rsidRPr="00341EDB">
        <w:rPr>
          <w:rFonts w:eastAsia="MS Mincho"/>
        </w:rPr>
        <w:t xml:space="preserve"> Universe-6). Зафиксированы синхронные всплески в обоих каналах измерений при пролете над промышленно-развитыми регионами. Предложен метод совместного анализа разнородных спутниковых данных, включающий восстановление карт плотности потока энергии (ППЭ) от наземных источников, фильтрацию магнитометрических данных и пространственно-временную синхронизацию измерений. На территории площадью 2500 км² выявлены участки статистически значимой корреляции между интенсивностью техногенного ЭМИ и вариациями магнитного поля. Получены количественные оценки, подтверждающие влияние наземных источников на магнитную обстановку вокруг МКА.</w:t>
      </w:r>
    </w:p>
    <w:p w14:paraId="30DF5821" w14:textId="4A809CAB" w:rsidR="004151AC" w:rsidRPr="00736F3B" w:rsidRDefault="004151AC" w:rsidP="009101B9">
      <w:pPr>
        <w:pStyle w:val="ae"/>
        <w:rPr>
          <w:rFonts w:eastAsia="MS Mincho"/>
        </w:rPr>
      </w:pPr>
      <w:r>
        <w:rPr>
          <w:rFonts w:eastAsia="MS Mincho"/>
        </w:rPr>
        <w:t>Ключевые слова</w:t>
      </w:r>
      <w:r w:rsidRPr="00736F3B">
        <w:rPr>
          <w:rFonts w:eastAsia="MS Mincho"/>
        </w:rPr>
        <w:t xml:space="preserve">: </w:t>
      </w:r>
      <w:r w:rsidR="00F427D2">
        <w:rPr>
          <w:rFonts w:eastAsia="MS Mincho"/>
        </w:rPr>
        <w:t>м</w:t>
      </w:r>
      <w:r w:rsidR="00704213" w:rsidRPr="00704213">
        <w:rPr>
          <w:rFonts w:eastAsia="MS Mincho"/>
        </w:rPr>
        <w:t>агнитометрия, малые космические аппараты (МКА), электромагнитное излучение (ЭМИ), плотность потока энергии (ППЭ), корреляционный анализ, техногенное воздействие, пространственно-временная синхронизация, данные ДЗЗ.</w:t>
      </w:r>
      <w:r w:rsidR="00F427D2">
        <w:rPr>
          <w:rFonts w:eastAsia="MS Mincho"/>
        </w:rPr>
        <w:t xml:space="preserve">; спутник </w:t>
      </w:r>
      <w:proofErr w:type="spellStart"/>
      <w:r w:rsidR="00F427D2">
        <w:rPr>
          <w:rFonts w:eastAsia="MS Mincho"/>
        </w:rPr>
        <w:t>Polytech</w:t>
      </w:r>
      <w:proofErr w:type="spellEnd"/>
      <w:r w:rsidR="00F427D2">
        <w:rPr>
          <w:rFonts w:eastAsia="MS Mincho"/>
        </w:rPr>
        <w:t xml:space="preserve"> Universe-4</w:t>
      </w:r>
    </w:p>
    <w:p w14:paraId="61FDCD9E" w14:textId="495BD8CD" w:rsidR="00BF1E5D" w:rsidRDefault="00BF1E5D" w:rsidP="00F427D2">
      <w:pPr>
        <w:pStyle w:val="1"/>
      </w:pPr>
      <w:r>
        <w:t>Введение</w:t>
      </w:r>
    </w:p>
    <w:p w14:paraId="5361E0B5" w14:textId="77777777" w:rsidR="00DB2589" w:rsidRDefault="00341EDB" w:rsidP="00F427D2">
      <w:pPr>
        <w:pStyle w:val="a3"/>
      </w:pPr>
      <w:r>
        <w:t>Традиционно считается, что основными факторами, возмущающими магнитное поле на низких околоземных орбитах, являются геомагнитная активность и работа бортовых систем. Однако развитие техногенной инфраструктуры привело к появлению мощных наземных источников электромагнитного излучения. Их излучение, проникая в ионосферу, способно оказывать воздействие на локальные параметры космической плазмы.</w:t>
      </w:r>
      <w:r w:rsidR="00DB2589">
        <w:t xml:space="preserve"> </w:t>
      </w:r>
      <w:r>
        <w:t>Развитие телекоммуникационных систем, радиолокации и энергетики привело к тому, что техногенное электромагнитное излучение стало значимым фактором воздействия на околоземное пространство. В связи с этим разработка методов оценки влияния ЭМИ наземного происхождения на геомагнитное поле является актуальной научной задачей.</w:t>
      </w:r>
    </w:p>
    <w:p w14:paraId="07991FC2" w14:textId="23A72FE7" w:rsidR="009101B9" w:rsidRPr="009101B9" w:rsidRDefault="00341EDB" w:rsidP="00F427D2">
      <w:pPr>
        <w:pStyle w:val="a3"/>
      </w:pPr>
      <w:r w:rsidRPr="00341EDB">
        <w:rPr>
          <w:i/>
          <w:iCs/>
        </w:rPr>
        <w:t>Целью</w:t>
      </w:r>
      <w:r>
        <w:t xml:space="preserve"> настоящей работы является исследование и оценка влияния электромагнитной обстановки у поверхности Земли на вариации магнитного поля, </w:t>
      </w:r>
      <w:r>
        <w:lastRenderedPageBreak/>
        <w:t>регистрируемые бортовым магнитометром малого космического аппарата.</w:t>
      </w:r>
    </w:p>
    <w:p w14:paraId="311221CD" w14:textId="79A344F3" w:rsidR="00341EDB" w:rsidRPr="00341EDB" w:rsidRDefault="00341EDB" w:rsidP="00F427D2">
      <w:pPr>
        <w:pStyle w:val="a3"/>
      </w:pPr>
      <w:r w:rsidRPr="00341EDB">
        <w:t>Для достижения поставленной цели решались следующие задачи:</w:t>
      </w:r>
    </w:p>
    <w:p w14:paraId="21A95F4C" w14:textId="024E36CE" w:rsidR="00341EDB" w:rsidRDefault="00341EDB" w:rsidP="00F427D2">
      <w:pPr>
        <w:pStyle w:val="a3"/>
      </w:pPr>
      <w:r w:rsidRPr="00341EDB">
        <w:t>1.</w:t>
      </w:r>
      <w:r w:rsidR="00F427D2">
        <w:tab/>
      </w:r>
      <w:r w:rsidRPr="00341EDB">
        <w:t xml:space="preserve">Получение и первичная обработка телеметрической информации с бортового трехкомпонентного магнитометра спутника </w:t>
      </w:r>
      <w:proofErr w:type="spellStart"/>
      <w:r w:rsidRPr="00341EDB">
        <w:t>Polytech</w:t>
      </w:r>
      <w:proofErr w:type="spellEnd"/>
      <w:r w:rsidRPr="00341EDB">
        <w:t xml:space="preserve"> Universe-6.</w:t>
      </w:r>
    </w:p>
    <w:p w14:paraId="7C662A20" w14:textId="0D992C45" w:rsidR="00341EDB" w:rsidRDefault="00341EDB" w:rsidP="00F427D2">
      <w:pPr>
        <w:pStyle w:val="a3"/>
      </w:pPr>
      <w:r w:rsidRPr="00341EDB">
        <w:t>2.</w:t>
      </w:r>
      <w:r w:rsidR="00F427D2">
        <w:tab/>
      </w:r>
      <w:r w:rsidRPr="00341EDB">
        <w:t>Формирование базы магнитометрических измерений и построение профилей вариаций магнитного поля вдоль траектории движения спутника.</w:t>
      </w:r>
    </w:p>
    <w:p w14:paraId="2E852AF2" w14:textId="484405B8" w:rsidR="00341EDB" w:rsidRDefault="00341EDB" w:rsidP="00F427D2">
      <w:pPr>
        <w:pStyle w:val="a3"/>
      </w:pPr>
      <w:r w:rsidRPr="00341EDB">
        <w:t>3.</w:t>
      </w:r>
      <w:r w:rsidR="00F427D2">
        <w:tab/>
      </w:r>
      <w:r w:rsidRPr="00341EDB">
        <w:t xml:space="preserve">Интеграция разнородных спутниковых данных путем сопряжения магнитометрических данных с данными дистанционного зондирования (IDF3 со спутника </w:t>
      </w:r>
      <w:proofErr w:type="spellStart"/>
      <w:r w:rsidRPr="00341EDB">
        <w:t>Polytech</w:t>
      </w:r>
      <w:proofErr w:type="spellEnd"/>
      <w:r w:rsidRPr="00341EDB">
        <w:t xml:space="preserve"> Universe-3) в единой системе координат.</w:t>
      </w:r>
    </w:p>
    <w:p w14:paraId="780F6352" w14:textId="749C4C97" w:rsidR="00341EDB" w:rsidRDefault="00341EDB" w:rsidP="00F427D2">
      <w:pPr>
        <w:pStyle w:val="a3"/>
      </w:pPr>
      <w:r w:rsidRPr="00341EDB">
        <w:t>4.</w:t>
      </w:r>
      <w:r w:rsidR="00F427D2">
        <w:tab/>
      </w:r>
      <w:r w:rsidRPr="00341EDB">
        <w:t>Восстановление карт плотности потока энергии (ППЭ) по методике, представленной в работе [1], для выделения зон техногенной электромагнитной активности</w:t>
      </w:r>
      <w:r>
        <w:t>.</w:t>
      </w:r>
    </w:p>
    <w:p w14:paraId="538BE025" w14:textId="2B333A83" w:rsidR="00BF1E5D" w:rsidRDefault="00341EDB" w:rsidP="00F427D2">
      <w:pPr>
        <w:pStyle w:val="a3"/>
      </w:pPr>
      <w:r w:rsidRPr="00341EDB">
        <w:t>5.</w:t>
      </w:r>
      <w:r w:rsidR="00F427D2">
        <w:tab/>
      </w:r>
      <w:r w:rsidRPr="00341EDB">
        <w:t>Проведение совместного корреляционного анализа пространственно-временных распределений ППЭ и вариаций магнитного поля.</w:t>
      </w:r>
    </w:p>
    <w:p w14:paraId="5597A2BD" w14:textId="430718C6" w:rsidR="0086158B" w:rsidRPr="009101B9" w:rsidRDefault="00341EDB" w:rsidP="00F427D2">
      <w:pPr>
        <w:pStyle w:val="1"/>
      </w:pPr>
      <w:r>
        <w:t>Ход работы</w:t>
      </w:r>
    </w:p>
    <w:p w14:paraId="354B009E" w14:textId="1E6D2EF1" w:rsidR="0086158B" w:rsidRDefault="0086158B" w:rsidP="00F427D2">
      <w:pPr>
        <w:pStyle w:val="a3"/>
      </w:pPr>
      <w:r>
        <w:t>В основе исследования лежит гипотеза о различном характере распространения электромагнитных волн в системе «поверхность Земли — ионосфера». Высокочастотные компоненты электромагнитного излучения, соответствующие работе большинства радиолокационных и связных систем, эффективно рассеиваются и поглощаются в плотных слоях тропосферы. Основной вклад в ослабление сигнала вносят два механизма: молекулярное поглощение на резонансных частотах кислорода (≈60 ГГц) и водяного пара (≈22 ГГц), а также рассеяние на гидрометеорах. Коэффициент затухания в этом диапазоне может достигать величин порядка 0,1–10 дБ/км в зависимости от интенсивности осадков.</w:t>
      </w:r>
    </w:p>
    <w:p w14:paraId="1963885D" w14:textId="77777777" w:rsidR="0086158B" w:rsidRDefault="0086158B" w:rsidP="00F427D2">
      <w:pPr>
        <w:pStyle w:val="a3"/>
      </w:pPr>
      <w:r>
        <w:t xml:space="preserve">Низкочастотные составляющие электромагнитного спектра (до сотен кГц) демонстрируют принципиально иное поведение. Для волн очень низких (ОНЧ, 3–30 кГц) </w:t>
      </w:r>
      <w:r>
        <w:lastRenderedPageBreak/>
        <w:t>и низких частот (НЧ, 30–300 кГц) атмосфера практически прозрачна. Это связано с тем, что их длина волны значительно превышает размеры неоднородностей и молекул, делая рассеяние неэффективным, а частоты далеки от резонансных линий поглощения. Критически важным является тот факт, что для данного диапазона пространство между проводящей поверхностью Земли и нижней границей ионосферы (D-слой, ~60–90 км) образует естественный сферический волновод.</w:t>
      </w:r>
    </w:p>
    <w:p w14:paraId="1A731EE5" w14:textId="5327CA55" w:rsidR="0086158B" w:rsidRDefault="0086158B" w:rsidP="00F427D2">
      <w:pPr>
        <w:pStyle w:val="a3"/>
      </w:pPr>
      <w:r>
        <w:t>Под воздействием поля волны электроны плазмы приходят в направленное движение, создавая переменный ток проводимости. Согласно второму уравнению Максвелла, этот ток, в свою очередь, порождает вторичное магнитное поле.</w:t>
      </w:r>
    </w:p>
    <w:p w14:paraId="4D74F921" w14:textId="77777777" w:rsidR="0086158B" w:rsidRPr="00704213" w:rsidRDefault="0086158B" w:rsidP="00F427D2">
      <w:pPr>
        <w:spacing w:after="120"/>
        <w:jc w:val="center"/>
        <w:rPr>
          <w:b/>
          <w:bCs/>
        </w:rPr>
      </w:pPr>
      <w:r w:rsidRPr="00704213">
        <w:rPr>
          <w:rFonts w:ascii="Cambria Math" w:hAnsi="Cambria Math" w:cs="Cambria Math"/>
          <w:b/>
          <w:bCs/>
        </w:rPr>
        <w:t>∇</w:t>
      </w:r>
      <w:r w:rsidRPr="00704213">
        <w:rPr>
          <w:b/>
          <w:bCs/>
        </w:rPr>
        <w:t>×B=μ0j+μ0ε0∂t∂E</w:t>
      </w:r>
    </w:p>
    <w:p w14:paraId="1B863AD6" w14:textId="77777777" w:rsidR="0086158B" w:rsidRDefault="0086158B" w:rsidP="00F427D2">
      <w:pPr>
        <w:pStyle w:val="a3"/>
      </w:pPr>
      <w:r>
        <w:t>Величина наведенного магнитного поля может быть оценена из соотношения:</w:t>
      </w:r>
    </w:p>
    <w:p w14:paraId="078BE10A" w14:textId="77777777" w:rsidR="0086158B" w:rsidRPr="00704213" w:rsidRDefault="0086158B" w:rsidP="00F427D2">
      <w:pPr>
        <w:spacing w:after="120"/>
        <w:jc w:val="center"/>
        <w:rPr>
          <w:b/>
          <w:bCs/>
        </w:rPr>
      </w:pPr>
      <w:r w:rsidRPr="00704213">
        <w:rPr>
          <w:rFonts w:ascii="Cambria Math" w:hAnsi="Cambria Math" w:cs="Cambria Math"/>
          <w:b/>
          <w:bCs/>
        </w:rPr>
        <w:t>∣</w:t>
      </w:r>
      <w:r w:rsidRPr="00704213">
        <w:rPr>
          <w:b/>
          <w:bCs/>
        </w:rPr>
        <w:t>B</w:t>
      </w:r>
      <w:r w:rsidRPr="00704213">
        <w:rPr>
          <w:rFonts w:ascii="Cambria Math" w:hAnsi="Cambria Math" w:cs="Cambria Math"/>
          <w:b/>
          <w:bCs/>
        </w:rPr>
        <w:t>∣</w:t>
      </w:r>
      <w:r w:rsidRPr="00704213">
        <w:rPr>
          <w:b/>
          <w:bCs/>
        </w:rPr>
        <w:t>≈μ0jL</w:t>
      </w:r>
    </w:p>
    <w:p w14:paraId="1E66D3AB" w14:textId="20C114E3" w:rsidR="00704213" w:rsidRDefault="0086158B" w:rsidP="00F427D2">
      <w:pPr>
        <w:pStyle w:val="a3"/>
      </w:pPr>
      <w:r>
        <w:t>Таким образом, низкочастотные компоненты ЭМИ от наземных источников, распространяясь в волноводе «Земля–ионосфера», достигают области пролета МКА не напрямую (их частота слишком мала для прямого детектирования большинством целевых приборов ДЗЗ), а опосредованно — через возмущение магнитного поля, создаваемое наведенными в ионосферной плазме вторичными токами. [3,4]</w:t>
      </w:r>
      <w:r w:rsidR="00DB2589">
        <w:t xml:space="preserve">. </w:t>
      </w:r>
      <w:r w:rsidR="00704213" w:rsidRPr="00704213">
        <w:t>Понимание процессов распространения электромагнитных волн и потерь энергии в каналах связи имеет ключевое значение для интерпретации спутниковых данных. Методы эффективного приема сигналов с GMSK-модуляцией и анализ энергетических потерь, разработанные в работах [7, 8], могут быть адаптированы для повышения точности восстановления параметров ЭМИ и фильтрации шумов в магнитометрических измерениях.</w:t>
      </w:r>
    </w:p>
    <w:p w14:paraId="46ABBA2B" w14:textId="17EB5803" w:rsidR="0086158B" w:rsidRPr="009101B9" w:rsidRDefault="0086158B" w:rsidP="00F427D2">
      <w:pPr>
        <w:pStyle w:val="2"/>
      </w:pPr>
      <w:r w:rsidRPr="009101B9">
        <w:t>Формирование исходных данных</w:t>
      </w:r>
    </w:p>
    <w:p w14:paraId="7314A0B0" w14:textId="4511DB5D" w:rsidR="0086158B" w:rsidRDefault="0086158B" w:rsidP="00F427D2">
      <w:pPr>
        <w:pStyle w:val="a3"/>
      </w:pPr>
      <w:r w:rsidRPr="0086158B">
        <w:t xml:space="preserve">На первом этапе были получены «сырые» телеметрические данные с бортового магнитометра спутника </w:t>
      </w:r>
      <w:proofErr w:type="spellStart"/>
      <w:r w:rsidRPr="0086158B">
        <w:t>Polytech</w:t>
      </w:r>
      <w:proofErr w:type="spellEnd"/>
      <w:r w:rsidRPr="0086158B">
        <w:t xml:space="preserve"> Universe-6. Проведено их декодирование и калибровка, сформированы временные ряды вариаций вектора магнитной индукции B(t) и его флуктуаций </w:t>
      </w:r>
      <w:proofErr w:type="spellStart"/>
      <w:r w:rsidRPr="0086158B">
        <w:t>δB</w:t>
      </w:r>
      <w:proofErr w:type="spellEnd"/>
      <w:r w:rsidRPr="0086158B">
        <w:t>(t) вдоль трассы полета.</w:t>
      </w:r>
    </w:p>
    <w:p w14:paraId="3AB1F796" w14:textId="6773AE8B" w:rsidR="0086158B" w:rsidRPr="00BF1E5D" w:rsidRDefault="0086158B" w:rsidP="009101B9">
      <w:pPr>
        <w:jc w:val="both"/>
        <w:rPr>
          <w:iCs/>
        </w:rPr>
      </w:pPr>
      <w:r>
        <w:rPr>
          <w:iCs/>
          <w:noProof/>
          <w:lang w:eastAsia="ru-RU"/>
        </w:rPr>
        <w:drawing>
          <wp:inline distT="0" distB="0" distL="0" distR="0" wp14:anchorId="4ABC7CA2" wp14:editId="267B9968">
            <wp:extent cx="3065584" cy="2049893"/>
            <wp:effectExtent l="0" t="0" r="1905" b="7620"/>
            <wp:docPr id="5711730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590" cy="2049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9C3DBFB" w14:textId="77777777" w:rsidR="0086158B" w:rsidRDefault="0086158B" w:rsidP="00F427D2">
      <w:pPr>
        <w:pStyle w:val="a"/>
      </w:pPr>
      <w:r>
        <w:t xml:space="preserve">Модуль магнитного поля и компоненты магнитного поля в зависимости от времени </w:t>
      </w:r>
    </w:p>
    <w:p w14:paraId="3DF43D1F" w14:textId="408A70DF" w:rsidR="009101B9" w:rsidRDefault="00B12A35" w:rsidP="00F427D2">
      <w:pPr>
        <w:pStyle w:val="a3"/>
      </w:pPr>
      <w:r>
        <w:br w:type="column"/>
      </w:r>
      <w:r w:rsidR="0086158B" w:rsidRPr="0086158B">
        <w:lastRenderedPageBreak/>
        <w:t xml:space="preserve">Параллельно выполнена обработка данных дистанционного зондирования со спутника </w:t>
      </w:r>
      <w:proofErr w:type="spellStart"/>
      <w:r w:rsidR="0086158B" w:rsidRPr="0086158B">
        <w:t>Polytech</w:t>
      </w:r>
      <w:proofErr w:type="spellEnd"/>
      <w:r w:rsidR="0086158B" w:rsidRPr="0086158B">
        <w:t xml:space="preserve"> Universe-3 в формате IDF3. С использованием методики, подробно изложенной в работе [1], проведено восстановление карт плотности потока энергии (ППЭ) электромагнитного излучения от наземных источников. Метод включает три основных этапа: извлечение сырых спектральных данных, выделение информативных каналов и моделирование пространственного распределения ППЭ на основе принципа суперпозиции полей точечных источников.</w:t>
      </w:r>
    </w:p>
    <w:p w14:paraId="144D3617" w14:textId="0800C509" w:rsidR="009101B9" w:rsidRPr="009101B9" w:rsidRDefault="0086158B" w:rsidP="00F427D2">
      <w:pPr>
        <w:pStyle w:val="2"/>
      </w:pPr>
      <w:r w:rsidRPr="00F427D2">
        <w:t>Пространственно</w:t>
      </w:r>
      <w:r w:rsidRPr="009101B9">
        <w:t>-временная синхронизаци</w:t>
      </w:r>
      <w:r w:rsidR="00F427D2">
        <w:t>я</w:t>
      </w:r>
    </w:p>
    <w:p w14:paraId="2C67667F" w14:textId="1539B031" w:rsidR="0086158B" w:rsidRDefault="0086158B" w:rsidP="00F427D2">
      <w:pPr>
        <w:pStyle w:val="a3"/>
      </w:pPr>
      <w:r w:rsidRPr="0086158B">
        <w:t xml:space="preserve">Для обеспечения корректного сопоставления разнородных данных разработан алгоритм пространственно-временной синхронизации, основанный на привязке траекторий движения спутников </w:t>
      </w:r>
      <w:proofErr w:type="spellStart"/>
      <w:r w:rsidRPr="0086158B">
        <w:t>Polytech</w:t>
      </w:r>
      <w:proofErr w:type="spellEnd"/>
      <w:r w:rsidRPr="0086158B">
        <w:t xml:space="preserve"> Universe-3 и </w:t>
      </w:r>
      <w:proofErr w:type="spellStart"/>
      <w:r w:rsidRPr="0086158B">
        <w:t>Polytech</w:t>
      </w:r>
      <w:proofErr w:type="spellEnd"/>
      <w:r w:rsidRPr="0086158B">
        <w:t xml:space="preserve"> Universe-6 к единой координатной сетке восстановленных карт ППЭ. Для каждого момента времени измерений магнитометра определялось соответствующее значение ППЭ в </w:t>
      </w:r>
      <w:proofErr w:type="spellStart"/>
      <w:r w:rsidRPr="0086158B">
        <w:t>подспутниковой</w:t>
      </w:r>
      <w:proofErr w:type="spellEnd"/>
      <w:r w:rsidRPr="0086158B">
        <w:t xml:space="preserve"> точке.</w:t>
      </w:r>
    </w:p>
    <w:p w14:paraId="26EAC8FF" w14:textId="2BE32EF3" w:rsidR="0086158B" w:rsidRDefault="0086158B" w:rsidP="00F427D2">
      <w:pPr>
        <w:pStyle w:val="a"/>
        <w:numPr>
          <w:ilvl w:val="0"/>
          <w:numId w:val="0"/>
        </w:numPr>
        <w:jc w:val="center"/>
        <w:rPr>
          <w:rFonts w:eastAsia="MS Mincho"/>
          <w:spacing w:val="-1"/>
          <w:sz w:val="20"/>
        </w:rPr>
      </w:pPr>
      <w:r w:rsidRPr="007A3A1A">
        <w:rPr>
          <w:noProof/>
          <w:lang w:eastAsia="ru-RU"/>
        </w:rPr>
        <w:drawing>
          <wp:inline distT="0" distB="0" distL="0" distR="0" wp14:anchorId="458CDCF8" wp14:editId="4974CAA2">
            <wp:extent cx="2385646" cy="1395841"/>
            <wp:effectExtent l="0" t="0" r="0" b="0"/>
            <wp:docPr id="32606100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061007" name=""/>
                    <pic:cNvPicPr/>
                  </pic:nvPicPr>
                  <pic:blipFill rotWithShape="1">
                    <a:blip r:embed="rId10"/>
                    <a:srcRect l="24915" t="13227" r="8122" b="219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6902" cy="1414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5A33CB" w14:textId="5B653176" w:rsidR="00DB2589" w:rsidRDefault="0086158B" w:rsidP="009101B9">
      <w:pPr>
        <w:pStyle w:val="a"/>
        <w:jc w:val="both"/>
      </w:pPr>
      <w:r w:rsidRPr="0086158B">
        <w:t xml:space="preserve">Траектория пролета спутника </w:t>
      </w:r>
      <w:proofErr w:type="spellStart"/>
      <w:r w:rsidRPr="0086158B">
        <w:t>Polytech</w:t>
      </w:r>
      <w:proofErr w:type="spellEnd"/>
      <w:r w:rsidRPr="0086158B">
        <w:t xml:space="preserve"> Universe-6 над исследуемым районом Западной Австрали</w:t>
      </w:r>
      <w:r w:rsidR="00F427D2">
        <w:t>и</w:t>
      </w:r>
    </w:p>
    <w:p w14:paraId="0FC6D3E1" w14:textId="13C77C4F" w:rsidR="00DB2589" w:rsidRPr="009101B9" w:rsidRDefault="009D76FF" w:rsidP="00F427D2">
      <w:pPr>
        <w:pStyle w:val="2"/>
      </w:pPr>
      <w:r w:rsidRPr="009101B9">
        <w:t xml:space="preserve">Результаты </w:t>
      </w:r>
      <w:r w:rsidRPr="00F427D2">
        <w:t>совместного</w:t>
      </w:r>
      <w:r w:rsidRPr="009101B9">
        <w:t xml:space="preserve"> анализ</w:t>
      </w:r>
      <w:r w:rsidR="00DB2589" w:rsidRPr="009101B9">
        <w:t>а</w:t>
      </w:r>
    </w:p>
    <w:p w14:paraId="4DAECA7B" w14:textId="4981B342" w:rsidR="009D76FF" w:rsidRPr="00DB2589" w:rsidRDefault="009D76FF" w:rsidP="00F427D2">
      <w:pPr>
        <w:pStyle w:val="a"/>
        <w:numPr>
          <w:ilvl w:val="0"/>
          <w:numId w:val="0"/>
        </w:numPr>
        <w:jc w:val="center"/>
      </w:pPr>
      <w:r w:rsidRPr="003D16B7">
        <w:rPr>
          <w:noProof/>
          <w:lang w:eastAsia="ru-RU"/>
        </w:rPr>
        <w:drawing>
          <wp:inline distT="0" distB="0" distL="0" distR="0" wp14:anchorId="277CF120" wp14:editId="5A9B27FB">
            <wp:extent cx="2596404" cy="2842846"/>
            <wp:effectExtent l="0" t="0" r="0" b="0"/>
            <wp:docPr id="82133454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191454" name=""/>
                    <pic:cNvPicPr/>
                  </pic:nvPicPr>
                  <pic:blipFill rotWithShape="1">
                    <a:blip r:embed="rId11"/>
                    <a:srcRect l="11942" r="94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4854" cy="2884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1848D6" w14:textId="7F19AE98" w:rsidR="009D76FF" w:rsidRDefault="009D76FF" w:rsidP="009101B9">
      <w:pPr>
        <w:pStyle w:val="a"/>
        <w:jc w:val="both"/>
      </w:pPr>
      <w:r w:rsidRPr="009D76FF">
        <w:t xml:space="preserve"> </w:t>
      </w:r>
      <w:r>
        <w:t>К</w:t>
      </w:r>
      <w:r w:rsidRPr="009D76FF">
        <w:t>арта плотности пото</w:t>
      </w:r>
      <w:r w:rsidR="00F427D2">
        <w:t>ка энергии (ППЭ) по данным IDF3</w:t>
      </w:r>
    </w:p>
    <w:p w14:paraId="575348BC" w14:textId="32B8BF9A" w:rsidR="009D76FF" w:rsidRDefault="009D76FF" w:rsidP="00F427D2">
      <w:pPr>
        <w:pStyle w:val="a"/>
        <w:numPr>
          <w:ilvl w:val="0"/>
          <w:numId w:val="0"/>
        </w:numPr>
        <w:tabs>
          <w:tab w:val="clear" w:pos="289"/>
          <w:tab w:val="left" w:pos="0"/>
        </w:tabs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57F51D85" wp14:editId="7E24AEC0">
            <wp:extent cx="2095500" cy="2195195"/>
            <wp:effectExtent l="0" t="0" r="0" b="0"/>
            <wp:docPr id="177029042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8722" cy="22090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CE0F72" w14:textId="292BE303" w:rsidR="009D76FF" w:rsidRDefault="009D76FF" w:rsidP="00F427D2">
      <w:pPr>
        <w:pStyle w:val="a"/>
      </w:pPr>
      <w:r>
        <w:t>П</w:t>
      </w:r>
      <w:r w:rsidRPr="009D76FF">
        <w:t xml:space="preserve">рофиль вариаций магнитного поля </w:t>
      </w:r>
      <w:proofErr w:type="spellStart"/>
      <w:r w:rsidRPr="009D76FF">
        <w:t>δB</w:t>
      </w:r>
      <w:proofErr w:type="spellEnd"/>
      <w:r w:rsidRPr="009D76FF">
        <w:t xml:space="preserve"> вдоль трассы пролета</w:t>
      </w:r>
    </w:p>
    <w:p w14:paraId="2B1C6A6C" w14:textId="296333A0" w:rsidR="009D76FF" w:rsidRDefault="009D76FF" w:rsidP="00F427D2">
      <w:pPr>
        <w:pStyle w:val="a3"/>
      </w:pPr>
      <w:r w:rsidRPr="009D76FF">
        <w:t xml:space="preserve">В западной области Австралии (112–118° </w:t>
      </w:r>
      <w:proofErr w:type="spellStart"/>
      <w:r w:rsidRPr="009D76FF">
        <w:t>в.д</w:t>
      </w:r>
      <w:proofErr w:type="spellEnd"/>
      <w:r w:rsidRPr="009D76FF">
        <w:t xml:space="preserve">., 35–20° </w:t>
      </w:r>
      <w:proofErr w:type="spellStart"/>
      <w:r w:rsidRPr="009D76FF">
        <w:t>ю.ш</w:t>
      </w:r>
      <w:proofErr w:type="spellEnd"/>
      <w:r w:rsidRPr="009D76FF">
        <w:t xml:space="preserve">.) зафиксирована зона повышенной электромагнитной активности, соответствующая промышленно-развитому региону с высокой техногенной нагрузкой. На карте ППЭ (рис. </w:t>
      </w:r>
      <w:r w:rsidR="00DB2589">
        <w:t>3</w:t>
      </w:r>
      <w:r w:rsidRPr="009D76FF">
        <w:t>) данная область характеризуется максимальными значениями плотности потока энергии, достигающими 1.28·10</w:t>
      </w:r>
      <w:r w:rsidRPr="009D76FF">
        <w:rPr>
          <w:rFonts w:ascii="Cambria Math" w:hAnsi="Cambria Math" w:cs="Cambria Math"/>
        </w:rPr>
        <w:t>⁻</w:t>
      </w:r>
      <w:r w:rsidRPr="009D76FF">
        <w:t>¹² Вт/м² при фоновом уровне 0.21·10</w:t>
      </w:r>
      <w:r w:rsidRPr="009D76FF">
        <w:rPr>
          <w:rFonts w:ascii="Cambria Math" w:hAnsi="Cambria Math" w:cs="Cambria Math"/>
        </w:rPr>
        <w:t>⁻</w:t>
      </w:r>
      <w:r w:rsidRPr="009D76FF">
        <w:t>¹² Вт/м². Пространственная протяженность зоны повышенного ЭМИ составляет 210 ± 30 км вдоль побережья.</w:t>
      </w:r>
      <w:r>
        <w:t xml:space="preserve"> </w:t>
      </w:r>
      <w:r w:rsidRPr="009D76FF">
        <w:t xml:space="preserve">При пролете спутника </w:t>
      </w:r>
      <w:proofErr w:type="spellStart"/>
      <w:r w:rsidRPr="009D76FF">
        <w:t>Polytech</w:t>
      </w:r>
      <w:proofErr w:type="spellEnd"/>
      <w:r w:rsidRPr="009D76FF">
        <w:t xml:space="preserve"> Universe-6 над данной областью трехкомпонентным феррозондовым магнитометром зарегистрирован импульс возмущения магнитного поля (рис. </w:t>
      </w:r>
      <w:r w:rsidR="00DB2589">
        <w:t>4</w:t>
      </w:r>
      <w:r w:rsidRPr="009D76FF">
        <w:t xml:space="preserve">) амплитудой 3.24 ± 0.15 </w:t>
      </w:r>
      <w:proofErr w:type="spellStart"/>
      <w:r w:rsidRPr="009D76FF">
        <w:t>нТл</w:t>
      </w:r>
      <w:proofErr w:type="spellEnd"/>
      <w:r w:rsidRPr="009D76FF">
        <w:t xml:space="preserve">, что превышает фоновый уровень флуктуаций (0.73 ± 0.28 </w:t>
      </w:r>
      <w:proofErr w:type="spellStart"/>
      <w:r w:rsidRPr="009D76FF">
        <w:t>нТл</w:t>
      </w:r>
      <w:proofErr w:type="spellEnd"/>
      <w:r w:rsidRPr="009D76FF">
        <w:t>) в 4.4 раза. Длительность импульса составила 18.5 ± 2.1 с, что при скорости спутника ~7.5 км/с соответствует пространственному масштабу возмущения 140 ± 15 км.</w:t>
      </w:r>
      <w:r>
        <w:t xml:space="preserve"> </w:t>
      </w:r>
      <w:r w:rsidRPr="009D76FF">
        <w:t>Наблюдается выраженная суточная динамика: в ночное время (00:00–04:00) зафиксировано снижение фонового уровня ППЭ с 0.35·10</w:t>
      </w:r>
      <w:r w:rsidRPr="009D76FF">
        <w:rPr>
          <w:rFonts w:ascii="Cambria Math" w:hAnsi="Cambria Math" w:cs="Cambria Math"/>
        </w:rPr>
        <w:t>⁻</w:t>
      </w:r>
      <w:r w:rsidRPr="009D76FF">
        <w:t>¹² до 0.18·10</w:t>
      </w:r>
      <w:r w:rsidRPr="009D76FF">
        <w:rPr>
          <w:rFonts w:ascii="Cambria Math" w:hAnsi="Cambria Math" w:cs="Cambria Math"/>
        </w:rPr>
        <w:t>⁻</w:t>
      </w:r>
      <w:r w:rsidRPr="009D76FF">
        <w:t xml:space="preserve">¹² Вт/м² (на 49%) и средней амплитуды вариаций магнитного поля с 1.12 до 0.64 </w:t>
      </w:r>
      <w:proofErr w:type="spellStart"/>
      <w:r w:rsidRPr="009D76FF">
        <w:t>нТл</w:t>
      </w:r>
      <w:proofErr w:type="spellEnd"/>
      <w:r w:rsidRPr="009D76FF">
        <w:t xml:space="preserve"> (на 43%). Отношение сигнал/шум возрастает в ночные часы с 3.8 ± 0.4 до 5.2 ± 0.5, что обусловлено снижением активности техногенных источников и улучшением условий распространения низкочастотных компонент в темное время суток.</w:t>
      </w:r>
      <w:r>
        <w:t xml:space="preserve"> </w:t>
      </w:r>
      <w:r w:rsidRPr="009D76FF">
        <w:t>Корреляционный анализ Пирсона (выборка 1250 измерений) выявил статистически значимую связь между значениями ППЭ и амплитудой вариаций магнитного поля. Для зон техногенной зашумленности (ППЭ &gt; 0.8·10</w:t>
      </w:r>
      <w:r w:rsidRPr="009D76FF">
        <w:rPr>
          <w:rFonts w:ascii="Cambria Math" w:hAnsi="Cambria Math" w:cs="Cambria Math"/>
        </w:rPr>
        <w:t>⁻</w:t>
      </w:r>
      <w:r w:rsidRPr="009D76FF">
        <w:t xml:space="preserve">¹² Вт/м²) коэффициент корреляции составил r = 0.71 ± 0.09 (p &lt; 0.01). В ночные часы коэффициент возрастает до </w:t>
      </w:r>
      <w:r w:rsidR="00F427D2">
        <w:br/>
      </w:r>
      <w:r w:rsidRPr="009D76FF">
        <w:t>r = 0.81 ± 0.07, что на 14% выше дневных значений. Спектральный анализ подтвердил совпадение характерных пространственных масштабов вариаций (140–160 км) с типичными размерами промышленных агломераций. Полученные статистические характеристики подтверждают наличие значимой связи между интенсивностью техногенного ЭМИ наземных источников и вариациями магнитного поля на борту МКА.</w:t>
      </w:r>
    </w:p>
    <w:p w14:paraId="0118E3C8" w14:textId="3C3F583F" w:rsidR="009D76FF" w:rsidRDefault="009D76FF" w:rsidP="00F427D2">
      <w:pPr>
        <w:pStyle w:val="a"/>
        <w:numPr>
          <w:ilvl w:val="0"/>
          <w:numId w:val="0"/>
        </w:numPr>
        <w:jc w:val="center"/>
        <w:rPr>
          <w:sz w:val="20"/>
        </w:rPr>
      </w:pPr>
      <w:r w:rsidRPr="003D16B7">
        <w:rPr>
          <w:noProof/>
          <w:lang w:eastAsia="ru-RU"/>
        </w:rPr>
        <w:lastRenderedPageBreak/>
        <w:drawing>
          <wp:inline distT="0" distB="0" distL="0" distR="0" wp14:anchorId="652929FF" wp14:editId="14A61BCE">
            <wp:extent cx="3092105" cy="1254369"/>
            <wp:effectExtent l="0" t="0" r="0" b="3175"/>
            <wp:docPr id="119445869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45869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13503" cy="126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BBBF5" w14:textId="611B8E9E" w:rsidR="009101B9" w:rsidRDefault="009D76FF" w:rsidP="00F427D2">
      <w:pPr>
        <w:pStyle w:val="a"/>
      </w:pPr>
      <w:r w:rsidRPr="009D76FF">
        <w:t>Сравнительный анализ вариаций магнитного поля и плотности потока электромагнитного излучения вдоль трассы пролета</w:t>
      </w:r>
    </w:p>
    <w:p w14:paraId="6DB69F33" w14:textId="59912CA5" w:rsidR="009101B9" w:rsidRPr="009101B9" w:rsidRDefault="009D76FF" w:rsidP="00F427D2">
      <w:pPr>
        <w:pStyle w:val="2"/>
      </w:pPr>
      <w:r w:rsidRPr="009D76FF">
        <w:t>Статистическая</w:t>
      </w:r>
      <w:r w:rsidR="009101B9">
        <w:t xml:space="preserve"> </w:t>
      </w:r>
      <w:r w:rsidRPr="009D76FF">
        <w:t>обработка</w:t>
      </w:r>
    </w:p>
    <w:p w14:paraId="1B8F13A2" w14:textId="316A91CE" w:rsidR="009D76FF" w:rsidRPr="009D76FF" w:rsidRDefault="009D76FF" w:rsidP="00F427D2">
      <w:pPr>
        <w:pStyle w:val="a3"/>
      </w:pPr>
      <w:r w:rsidRPr="009D76FF">
        <w:t xml:space="preserve">Для оценки выявленных зависимостей проведен корреляционный анализ Пирсона между значениями ППЭ и амплитудой вариаций магнитного поля </w:t>
      </w:r>
      <w:proofErr w:type="spellStart"/>
      <w:r w:rsidRPr="009D76FF">
        <w:t>δB</w:t>
      </w:r>
      <w:proofErr w:type="spellEnd"/>
      <w:r w:rsidRPr="009D76FF">
        <w:t xml:space="preserve"> вдоль трасс пролета. Для зон техногенной зашумленности коэффициент корреляции составил </w:t>
      </w:r>
      <w:r w:rsidRPr="009D76FF">
        <w:rPr>
          <w:b/>
          <w:bCs/>
        </w:rPr>
        <w:t>r = 0.68 ± 0.12</w:t>
      </w:r>
      <w:r w:rsidRPr="009D76FF">
        <w:t> (p &lt; 0.05), что указывает на наличие статистически значимой связи. В ночные часы коэффициент корреляции в среднем на 15% выше, чем в дневные, что согласуется с предположением о лучших условиях распространения низкочастотных компонент в темное время суток.</w:t>
      </w:r>
    </w:p>
    <w:p w14:paraId="538DF812" w14:textId="31708130" w:rsidR="0086158B" w:rsidRPr="0086158B" w:rsidRDefault="0086158B" w:rsidP="009101B9">
      <w:pPr>
        <w:pStyle w:val="5"/>
      </w:pPr>
      <w:r w:rsidRPr="0086158B">
        <w:t>Список литературы</w:t>
      </w:r>
    </w:p>
    <w:p w14:paraId="4D2689CC" w14:textId="584B31BC" w:rsidR="00E67E51" w:rsidRPr="00AB3800" w:rsidRDefault="00F427D2" w:rsidP="009101B9">
      <w:pPr>
        <w:pStyle w:val="a0"/>
      </w:pPr>
      <w:r>
        <w:t>Трусов С.</w:t>
      </w:r>
      <w:r w:rsidR="00E67E51" w:rsidRPr="00AB3800">
        <w:t xml:space="preserve">В., </w:t>
      </w:r>
      <w:proofErr w:type="spellStart"/>
      <w:r w:rsidR="00E67E51" w:rsidRPr="00AB3800">
        <w:t>Барабошкин</w:t>
      </w:r>
      <w:proofErr w:type="spellEnd"/>
      <w:r>
        <w:t xml:space="preserve"> О.И., Бобровский С.</w:t>
      </w:r>
      <w:r w:rsidR="00E67E51" w:rsidRPr="00AB3800">
        <w:t>А. Перспективы использования спутниковой аппаратуры для обмена информацией с морскими судами в ОВЧ-диапазоне с использованием сообщений AIS, ASM, VDE // Ракетно-космическое приборостроение и информационные системы. 2021. Т. 8, № 4. С. 36–46.</w:t>
      </w:r>
    </w:p>
    <w:p w14:paraId="5A812363" w14:textId="52E12E1F" w:rsidR="00E67E51" w:rsidRPr="00AB3800" w:rsidRDefault="00F427D2" w:rsidP="009101B9">
      <w:pPr>
        <w:pStyle w:val="a0"/>
      </w:pPr>
      <w:r>
        <w:t>Станкевич Т.Д., Ковалев А.И., Мельников С.</w:t>
      </w:r>
      <w:r w:rsidR="00E67E51" w:rsidRPr="00AB3800">
        <w:t xml:space="preserve">О. Спутниковый мониторинг судов и нефтяных разливов с помощью АИС и технологий глубокого обучения // Неделя науки </w:t>
      </w:r>
      <w:proofErr w:type="spellStart"/>
      <w:r w:rsidR="00E67E51" w:rsidRPr="00AB3800">
        <w:t>ИЭиТ</w:t>
      </w:r>
      <w:proofErr w:type="spellEnd"/>
      <w:r w:rsidR="00E67E51" w:rsidRPr="00AB3800">
        <w:t>: материалы Всероссийской конференции. Санкт-Петербург, 2025. С. 110–113.</w:t>
      </w:r>
    </w:p>
    <w:p w14:paraId="2737635C" w14:textId="30A92BA6" w:rsidR="00E67E51" w:rsidRPr="00E67E51" w:rsidRDefault="00E67E51" w:rsidP="009101B9">
      <w:pPr>
        <w:pStyle w:val="a0"/>
        <w:rPr>
          <w:lang w:val="en-US"/>
        </w:rPr>
      </w:pPr>
      <w:r w:rsidRPr="00E67E51">
        <w:rPr>
          <w:lang w:val="en-US"/>
        </w:rPr>
        <w:t>Chen J., Kang S., Du W., Guo J., Xu M., Zhang Y., Zhong X., Zhang W., Chen J. Perspectives on future sea ice and navigability in the Arctic // The Cryosphere. 2021. Vol. 15. P. 5473–5494.</w:t>
      </w:r>
    </w:p>
    <w:p w14:paraId="12EB8476" w14:textId="13D6901C" w:rsidR="00E67E51" w:rsidRPr="00E67E51" w:rsidRDefault="00F427D2" w:rsidP="009101B9">
      <w:pPr>
        <w:pStyle w:val="a0"/>
        <w:rPr>
          <w:lang w:val="en-US"/>
        </w:rPr>
      </w:pPr>
      <w:r>
        <w:rPr>
          <w:lang w:val="en-US"/>
        </w:rPr>
        <w:t>Evans B.R., Lowe A.</w:t>
      </w:r>
      <w:r w:rsidR="00E67E51" w:rsidRPr="00E67E51">
        <w:rPr>
          <w:lang w:val="en-US"/>
        </w:rPr>
        <w:t>R., Craw</w:t>
      </w:r>
      <w:r>
        <w:rPr>
          <w:lang w:val="en-US"/>
        </w:rPr>
        <w:t>ford A., Fleming A., Hosking J.</w:t>
      </w:r>
      <w:r w:rsidR="00E67E51" w:rsidRPr="00E67E51">
        <w:rPr>
          <w:lang w:val="en-US"/>
        </w:rPr>
        <w:t>S. Icebergs, jigsaw puzzles, and genealogy: automated multi-generational iceberg tracking and lineage reconstruction // The Cryosphere. 2026. Vol. 20. P. 467–482.</w:t>
      </w:r>
    </w:p>
    <w:p w14:paraId="704553A5" w14:textId="4DCC825E" w:rsidR="00E67E51" w:rsidRPr="00E67E51" w:rsidRDefault="00E67E51" w:rsidP="009101B9">
      <w:pPr>
        <w:pStyle w:val="a0"/>
        <w:rPr>
          <w:lang w:val="en-US"/>
        </w:rPr>
      </w:pPr>
      <w:proofErr w:type="spellStart"/>
      <w:r w:rsidRPr="00E67E51">
        <w:rPr>
          <w:lang w:val="en-US"/>
        </w:rPr>
        <w:t>Braakmann-Folgmann</w:t>
      </w:r>
      <w:proofErr w:type="spellEnd"/>
      <w:r w:rsidRPr="00E67E51">
        <w:rPr>
          <w:lang w:val="en-US"/>
        </w:rPr>
        <w:t xml:space="preserve"> A., Shepherd A., Hogg A., Redmond E. Mapping the extent of giant Antarctic icebergs with deep learning // The Cryosphere. 2023. Vol. 17. P. 4675–4690.</w:t>
      </w:r>
    </w:p>
    <w:p w14:paraId="2EA6C44C" w14:textId="18677734" w:rsidR="00E67E51" w:rsidRPr="00E67E51" w:rsidRDefault="00E67E51" w:rsidP="009101B9">
      <w:pPr>
        <w:pStyle w:val="a0"/>
        <w:rPr>
          <w:lang w:val="en-US"/>
        </w:rPr>
      </w:pPr>
      <w:r w:rsidRPr="00E67E51">
        <w:rPr>
          <w:lang w:val="en-US"/>
        </w:rPr>
        <w:t>Recommendation ITU-R M.1371-6. Technical characteristics for VHF automatic identification system using time division multiple access in the maritime mobile service.  Geneva: ITU, 2026.</w:t>
      </w:r>
    </w:p>
    <w:p w14:paraId="4AF7A69F" w14:textId="77777777" w:rsidR="005A24EA" w:rsidRPr="005A24EA" w:rsidRDefault="005A24EA" w:rsidP="009101B9">
      <w:pPr>
        <w:pStyle w:val="a0"/>
        <w:rPr>
          <w:rFonts w:eastAsia="Times New Roman"/>
          <w:sz w:val="20"/>
          <w:lang w:val="en-US" w:eastAsia="ru-RU"/>
        </w:rPr>
      </w:pPr>
      <w:r w:rsidRPr="005A24EA">
        <w:rPr>
          <w:lang w:val="en-US"/>
        </w:rPr>
        <w:t xml:space="preserve">S. Melnikov, S. Makarov and I. </w:t>
      </w:r>
      <w:proofErr w:type="spellStart"/>
      <w:r w:rsidRPr="005A24EA">
        <w:rPr>
          <w:lang w:val="en-US"/>
        </w:rPr>
        <w:t>Lavrenyuk</w:t>
      </w:r>
      <w:proofErr w:type="spellEnd"/>
      <w:r w:rsidRPr="005A24EA">
        <w:rPr>
          <w:lang w:val="en-US"/>
        </w:rPr>
        <w:t>, "Reception Energy Loss of GMSK-Modulated Signals with a Narrow Frequency Band and a High Message Rate," 2024 International Conference on Electrical Engineering and Photonics (</w:t>
      </w:r>
      <w:proofErr w:type="spellStart"/>
      <w:r w:rsidRPr="005A24EA">
        <w:rPr>
          <w:lang w:val="en-US"/>
        </w:rPr>
        <w:t>EExPolytech</w:t>
      </w:r>
      <w:proofErr w:type="spellEnd"/>
      <w:r w:rsidRPr="005A24EA">
        <w:rPr>
          <w:lang w:val="en-US"/>
        </w:rPr>
        <w:t xml:space="preserve">), Saint Petersburg, Russian Federation, 2024, pp. 171-174, </w:t>
      </w:r>
      <w:proofErr w:type="spellStart"/>
      <w:r w:rsidRPr="005A24EA">
        <w:rPr>
          <w:lang w:val="en-US"/>
        </w:rPr>
        <w:t>doi</w:t>
      </w:r>
      <w:proofErr w:type="spellEnd"/>
      <w:r w:rsidRPr="005A24EA">
        <w:rPr>
          <w:lang w:val="en-US"/>
        </w:rPr>
        <w:t>: 10.1109/EExPolytech62224.2024.10755636.</w:t>
      </w:r>
    </w:p>
    <w:p w14:paraId="133E2257" w14:textId="6A514602" w:rsidR="008C64AA" w:rsidRDefault="005A24EA" w:rsidP="009101B9">
      <w:pPr>
        <w:pStyle w:val="a0"/>
      </w:pPr>
      <w:r w:rsidRPr="005A24EA">
        <w:rPr>
          <w:lang w:val="en-US"/>
        </w:rPr>
        <w:t>S. Melnikov, I. Gorbunov, S. Makarov, E. Kuleshov, C. M. Nguyen and A. Gruzdev, "Quadrature Formation and Element-by-Element Reception of Signals with GMSK Modulation and Controlled Inter-Symbol Interference," 2023 International Conference on Electrical Engineering and Photonics (</w:t>
      </w:r>
      <w:proofErr w:type="spellStart"/>
      <w:r w:rsidRPr="005A24EA">
        <w:rPr>
          <w:lang w:val="en-US"/>
        </w:rPr>
        <w:t>EExPolytech</w:t>
      </w:r>
      <w:proofErr w:type="spellEnd"/>
      <w:r w:rsidRPr="005A24EA">
        <w:rPr>
          <w:lang w:val="en-US"/>
        </w:rPr>
        <w:t xml:space="preserve">), ST PETERSBURG, Russian Federation, 2023, pp. 148-151, </w:t>
      </w:r>
      <w:proofErr w:type="spellStart"/>
      <w:r w:rsidRPr="005A24EA">
        <w:rPr>
          <w:lang w:val="en-US"/>
        </w:rPr>
        <w:t>doi</w:t>
      </w:r>
      <w:proofErr w:type="spellEnd"/>
      <w:r w:rsidRPr="005A24EA">
        <w:rPr>
          <w:lang w:val="en-US"/>
        </w:rPr>
        <w:t>: 10.1109/EExPolytech58658.2023.10318554.</w:t>
      </w:r>
    </w:p>
    <w:p w14:paraId="5454C31B" w14:textId="77777777" w:rsidR="00B72794" w:rsidRPr="00B72794" w:rsidRDefault="00B72794" w:rsidP="00B72794">
      <w:pPr>
        <w:sectPr w:rsidR="00B72794" w:rsidRPr="00B72794" w:rsidSect="004B14C2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  <w:bookmarkStart w:id="0" w:name="_GoBack"/>
      <w:bookmarkEnd w:id="0"/>
    </w:p>
    <w:p w14:paraId="51B81E46" w14:textId="77777777" w:rsidR="008C64AA" w:rsidRPr="009D76FF" w:rsidRDefault="008C64AA" w:rsidP="009101B9">
      <w:pPr>
        <w:jc w:val="both"/>
        <w:rPr>
          <w:rFonts w:eastAsia="MS Mincho"/>
          <w:lang w:val="en-US"/>
        </w:rPr>
      </w:pPr>
    </w:p>
    <w:sectPr w:rsidR="008C64AA" w:rsidRPr="009D76FF" w:rsidSect="008C64AA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C5832F" w14:textId="77777777" w:rsidR="00BE7514" w:rsidRDefault="00BE7514" w:rsidP="00B12A35">
      <w:r>
        <w:separator/>
      </w:r>
    </w:p>
  </w:endnote>
  <w:endnote w:type="continuationSeparator" w:id="0">
    <w:p w14:paraId="60F8F51D" w14:textId="77777777" w:rsidR="00BE7514" w:rsidRDefault="00BE7514" w:rsidP="00B12A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22796605"/>
      <w:docPartObj>
        <w:docPartGallery w:val="Page Numbers (Bottom of Page)"/>
        <w:docPartUnique/>
      </w:docPartObj>
    </w:sdtPr>
    <w:sdtContent>
      <w:p w14:paraId="74CB69C5" w14:textId="7E84311B" w:rsidR="00B12A35" w:rsidRDefault="00B12A35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2794">
          <w:rPr>
            <w:noProof/>
          </w:rPr>
          <w:t>258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50D341F" w14:textId="77777777" w:rsidR="00BE7514" w:rsidRDefault="00BE7514" w:rsidP="00B12A35">
      <w:r>
        <w:separator/>
      </w:r>
    </w:p>
  </w:footnote>
  <w:footnote w:type="continuationSeparator" w:id="0">
    <w:p w14:paraId="4AB47D61" w14:textId="77777777" w:rsidR="00BE7514" w:rsidRDefault="00BE7514" w:rsidP="00B12A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5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9563FD"/>
    <w:multiLevelType w:val="hybridMultilevel"/>
    <w:tmpl w:val="FACC0B38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18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1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2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4"/>
  </w:num>
  <w:num w:numId="4">
    <w:abstractNumId w:val="14"/>
  </w:num>
  <w:num w:numId="5">
    <w:abstractNumId w:val="14"/>
  </w:num>
  <w:num w:numId="6">
    <w:abstractNumId w:val="20"/>
  </w:num>
  <w:num w:numId="7">
    <w:abstractNumId w:val="18"/>
  </w:num>
  <w:num w:numId="8">
    <w:abstractNumId w:val="17"/>
  </w:num>
  <w:num w:numId="9">
    <w:abstractNumId w:val="11"/>
  </w:num>
  <w:num w:numId="10">
    <w:abstractNumId w:val="14"/>
  </w:num>
  <w:num w:numId="11">
    <w:abstractNumId w:val="14"/>
  </w:num>
  <w:num w:numId="12">
    <w:abstractNumId w:val="14"/>
  </w:num>
  <w:num w:numId="13">
    <w:abstractNumId w:val="14"/>
  </w:num>
  <w:num w:numId="14">
    <w:abstractNumId w:val="20"/>
  </w:num>
  <w:num w:numId="15">
    <w:abstractNumId w:val="18"/>
  </w:num>
  <w:num w:numId="16">
    <w:abstractNumId w:val="17"/>
  </w:num>
  <w:num w:numId="17">
    <w:abstractNumId w:val="11"/>
  </w:num>
  <w:num w:numId="18">
    <w:abstractNumId w:val="10"/>
  </w:num>
  <w:num w:numId="19">
    <w:abstractNumId w:val="12"/>
  </w:num>
  <w:num w:numId="20">
    <w:abstractNumId w:val="21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6"/>
  </w:num>
  <w:num w:numId="32">
    <w:abstractNumId w:val="19"/>
  </w:num>
  <w:num w:numId="33">
    <w:abstractNumId w:val="15"/>
  </w:num>
  <w:num w:numId="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52D"/>
    <w:rsid w:val="0005063A"/>
    <w:rsid w:val="00052062"/>
    <w:rsid w:val="0013123C"/>
    <w:rsid w:val="001B02F2"/>
    <w:rsid w:val="002369C5"/>
    <w:rsid w:val="00252F87"/>
    <w:rsid w:val="002A0E1E"/>
    <w:rsid w:val="002D540B"/>
    <w:rsid w:val="003378F6"/>
    <w:rsid w:val="00341EDB"/>
    <w:rsid w:val="00373376"/>
    <w:rsid w:val="003915FB"/>
    <w:rsid w:val="003D785D"/>
    <w:rsid w:val="004151AC"/>
    <w:rsid w:val="004165FC"/>
    <w:rsid w:val="00420452"/>
    <w:rsid w:val="0042133A"/>
    <w:rsid w:val="0047652D"/>
    <w:rsid w:val="004B14C2"/>
    <w:rsid w:val="004C40DB"/>
    <w:rsid w:val="004D7E92"/>
    <w:rsid w:val="00502710"/>
    <w:rsid w:val="00525C6F"/>
    <w:rsid w:val="00535924"/>
    <w:rsid w:val="005630E7"/>
    <w:rsid w:val="005963D0"/>
    <w:rsid w:val="005A24EA"/>
    <w:rsid w:val="005D4923"/>
    <w:rsid w:val="006568D2"/>
    <w:rsid w:val="006D605D"/>
    <w:rsid w:val="00704213"/>
    <w:rsid w:val="00711520"/>
    <w:rsid w:val="0071573A"/>
    <w:rsid w:val="00717429"/>
    <w:rsid w:val="00722D3C"/>
    <w:rsid w:val="007316B2"/>
    <w:rsid w:val="00736F3B"/>
    <w:rsid w:val="00791CA2"/>
    <w:rsid w:val="007B6A69"/>
    <w:rsid w:val="00855A9B"/>
    <w:rsid w:val="0086158B"/>
    <w:rsid w:val="008664C2"/>
    <w:rsid w:val="0087270B"/>
    <w:rsid w:val="008834FE"/>
    <w:rsid w:val="008C64AA"/>
    <w:rsid w:val="009101B9"/>
    <w:rsid w:val="00940220"/>
    <w:rsid w:val="009D76FF"/>
    <w:rsid w:val="009F18F8"/>
    <w:rsid w:val="009F446D"/>
    <w:rsid w:val="00A25034"/>
    <w:rsid w:val="00A27BB2"/>
    <w:rsid w:val="00A40789"/>
    <w:rsid w:val="00AC08AA"/>
    <w:rsid w:val="00AE6C42"/>
    <w:rsid w:val="00AF069A"/>
    <w:rsid w:val="00B12A35"/>
    <w:rsid w:val="00B72794"/>
    <w:rsid w:val="00B77B07"/>
    <w:rsid w:val="00BB4BA8"/>
    <w:rsid w:val="00BD2BC3"/>
    <w:rsid w:val="00BE7514"/>
    <w:rsid w:val="00BF0A1B"/>
    <w:rsid w:val="00BF1E5D"/>
    <w:rsid w:val="00C903D0"/>
    <w:rsid w:val="00C9188D"/>
    <w:rsid w:val="00CC6D5A"/>
    <w:rsid w:val="00D37722"/>
    <w:rsid w:val="00D80951"/>
    <w:rsid w:val="00DA480C"/>
    <w:rsid w:val="00DB2589"/>
    <w:rsid w:val="00E152C5"/>
    <w:rsid w:val="00E440F6"/>
    <w:rsid w:val="00E67E51"/>
    <w:rsid w:val="00E87115"/>
    <w:rsid w:val="00EA00CE"/>
    <w:rsid w:val="00EC44A2"/>
    <w:rsid w:val="00F05068"/>
    <w:rsid w:val="00F074EC"/>
    <w:rsid w:val="00F20F9D"/>
    <w:rsid w:val="00F42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A7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427D2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5D492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5D4923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B12A3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B12A35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B12A3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B12A35"/>
    <w:rPr>
      <w:rFonts w:ascii="Times New Roman" w:hAnsi="Times New Roman" w:cs="Times New Roman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/>
    <w:lsdException w:name="heading 4" w:uiPriority="0"/>
    <w:lsdException w:name="heading 5" w:uiPriority="0" w:qFormat="1"/>
    <w:lsdException w:name="heading 6" w:uiPriority="9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0"/>
    <w:lsdException w:name="Body Text" w:uiPriority="0"/>
    <w:lsdException w:name="Subtitle" w:uiPriority="11"/>
    <w:lsdException w:name="Strong" w:semiHidden="0" w:uiPriority="22" w:unhideWhenUsed="0"/>
    <w:lsdException w:name="Emphasis" w:semiHidden="0" w:uiPriority="20" w:unhideWhenUsed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 w:qFormat="1"/>
    <w:lsdException w:name="TOC Heading" w:uiPriority="39" w:qFormat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Название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F427D2"/>
    <w:pPr>
      <w:numPr>
        <w:numId w:val="31"/>
      </w:numPr>
      <w:tabs>
        <w:tab w:val="clear" w:pos="288"/>
        <w:tab w:val="left" w:pos="357"/>
      </w:tabs>
      <w:spacing w:after="50" w:line="180" w:lineRule="exact"/>
      <w:ind w:left="357" w:hanging="357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5D4923"/>
    <w:rPr>
      <w:color w:val="0000FF" w:themeColor="hyperlink"/>
      <w:u w:val="single"/>
    </w:rPr>
  </w:style>
  <w:style w:type="character" w:customStyle="1" w:styleId="UnresolvedMention">
    <w:name w:val="Unresolved Mention"/>
    <w:basedOn w:val="a4"/>
    <w:uiPriority w:val="99"/>
    <w:semiHidden/>
    <w:unhideWhenUsed/>
    <w:rsid w:val="005D4923"/>
    <w:rPr>
      <w:color w:val="605E5C"/>
      <w:shd w:val="clear" w:color="auto" w:fill="E1DFDD"/>
    </w:rPr>
  </w:style>
  <w:style w:type="paragraph" w:styleId="af3">
    <w:name w:val="header"/>
    <w:basedOn w:val="a2"/>
    <w:link w:val="af4"/>
    <w:unhideWhenUsed/>
    <w:rsid w:val="00B12A3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B12A35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B12A3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B12A35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70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48F60006-F987-462B-B1D8-16684CEE5C77}">
  <we:reference id="wa104381909" version="3.19.0.0" store="en-001" storeType="OMEX"/>
  <we:alternateReferences>
    <we:reference id="wa104381909" version="3.19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1774</Words>
  <Characters>10117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Ri</cp:lastModifiedBy>
  <cp:revision>3</cp:revision>
  <dcterms:created xsi:type="dcterms:W3CDTF">2026-04-16T11:43:00Z</dcterms:created>
  <dcterms:modified xsi:type="dcterms:W3CDTF">2026-04-16T11:43:00Z</dcterms:modified>
</cp:coreProperties>
</file>