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55219" w14:textId="4C15E2AE" w:rsidR="00D80951" w:rsidRDefault="00C1147E" w:rsidP="0053530A">
      <w:pPr>
        <w:pStyle w:val="a7"/>
      </w:pPr>
      <w:r>
        <w:t xml:space="preserve">Анализ </w:t>
      </w:r>
      <w:proofErr w:type="gramStart"/>
      <w:r>
        <w:t>методов оптимизации расхода энергии инсулиновой помпы</w:t>
      </w:r>
      <w:proofErr w:type="gramEnd"/>
      <w:r>
        <w:t xml:space="preserve"> при внедрении в ее конструкцию гироскопического датчика</w:t>
      </w:r>
    </w:p>
    <w:p w14:paraId="7EA60FBD" w14:textId="1ED10450" w:rsidR="00A95E45" w:rsidRDefault="00A95E45" w:rsidP="0053530A">
      <w:pPr>
        <w:pStyle w:val="aa"/>
      </w:pPr>
      <w:r>
        <w:t>К.</w:t>
      </w:r>
      <w:r w:rsidR="0053530A">
        <w:t xml:space="preserve"> </w:t>
      </w:r>
      <w:r>
        <w:t>Р. Дроздов</w:t>
      </w:r>
    </w:p>
    <w:p w14:paraId="2CA7F26B" w14:textId="6A86FE9B" w:rsidR="00A95E45" w:rsidRDefault="00A95E45" w:rsidP="0053530A">
      <w:pPr>
        <w:pStyle w:val="ab"/>
      </w:pPr>
      <w:r w:rsidRPr="00A95E45">
        <w:t xml:space="preserve">Санкт-Петербургский государственный электротехнический университет </w:t>
      </w:r>
      <w:r w:rsidR="0053530A">
        <w:br/>
      </w:r>
      <w:r w:rsidRPr="00A95E45">
        <w:t>«ЛЭТИ» им. В.И. Ульянова (Ленина)</w:t>
      </w:r>
    </w:p>
    <w:p w14:paraId="64E841FC" w14:textId="57E2611D" w:rsidR="00D80951" w:rsidRPr="0013123C" w:rsidRDefault="00A95E45" w:rsidP="0053530A">
      <w:pPr>
        <w:pStyle w:val="ac"/>
        <w:spacing w:after="180"/>
      </w:pPr>
      <w:r>
        <w:t>kir</w:t>
      </w:r>
      <w:r w:rsidRPr="003A3086">
        <w:t>.</w:t>
      </w:r>
      <w:r>
        <w:t>drozdov</w:t>
      </w:r>
      <w:r w:rsidRPr="003A3086">
        <w:t>2204@</w:t>
      </w:r>
      <w:r>
        <w:t>mail</w:t>
      </w:r>
      <w:r w:rsidRPr="003A3086">
        <w:t>.</w:t>
      </w:r>
      <w:r>
        <w:t>ru</w:t>
      </w:r>
    </w:p>
    <w:p w14:paraId="3D385656" w14:textId="77777777" w:rsidR="0013123C" w:rsidRDefault="0013123C" w:rsidP="009F446D">
      <w:pPr>
        <w:jc w:val="center"/>
        <w:sectPr w:rsidR="0013123C" w:rsidSect="00805958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293"/>
          <w:cols w:space="708"/>
          <w:docGrid w:linePitch="360"/>
        </w:sectPr>
      </w:pPr>
    </w:p>
    <w:p w14:paraId="3554E966" w14:textId="2D17B77D" w:rsidR="0013123C" w:rsidRPr="00C1147E" w:rsidRDefault="0053530A" w:rsidP="0053530A">
      <w:pPr>
        <w:pStyle w:val="ad"/>
        <w:rPr>
          <w:rFonts w:eastAsia="MS Mincho"/>
        </w:rPr>
      </w:pPr>
      <w:r w:rsidRPr="0053530A">
        <w:rPr>
          <w:i/>
        </w:rPr>
        <w:lastRenderedPageBreak/>
        <w:t>Аннотация</w:t>
      </w:r>
      <w:r>
        <w:t xml:space="preserve">. </w:t>
      </w:r>
      <w:r w:rsidR="00C1147E" w:rsidRPr="00C1147E">
        <w:t>Доклад посвящен аспектам модернизации аппаратно-программных комплексов для мониторинга содержания сахара в крови при установке в систему инсулиновой помпы гироскопического датчика. Предложены различные варианты внедрения дополнительных модулей в устройство инсулиновой помпы для оптимизации расхода энергии</w:t>
      </w:r>
      <w:r w:rsidR="0013123C" w:rsidRPr="00C1147E">
        <w:rPr>
          <w:rFonts w:eastAsia="MS Mincho"/>
        </w:rPr>
        <w:t xml:space="preserve">. </w:t>
      </w:r>
    </w:p>
    <w:p w14:paraId="158AC4D3" w14:textId="6EEF2FC5" w:rsidR="0013123C" w:rsidRDefault="0013123C" w:rsidP="0053530A">
      <w:pPr>
        <w:pStyle w:val="ae"/>
      </w:pPr>
      <w:proofErr w:type="gramStart"/>
      <w:r w:rsidRPr="0013123C">
        <w:t>Ключевые слова</w:t>
      </w:r>
      <w:r w:rsidR="00C1147E">
        <w:t>:</w:t>
      </w:r>
      <w:r w:rsidR="00C1147E" w:rsidRPr="00C1147E">
        <w:t xml:space="preserve"> </w:t>
      </w:r>
      <w:r w:rsidR="0053530A">
        <w:t>и</w:t>
      </w:r>
      <w:r w:rsidR="00C1147E" w:rsidRPr="00C1147E">
        <w:t xml:space="preserve">нсулиновая помпа, энергия, энергопотребление, батарея, аккумулятор, акселерометр, </w:t>
      </w:r>
      <w:proofErr w:type="spellStart"/>
      <w:r w:rsidR="00C1147E" w:rsidRPr="00C1147E">
        <w:t>акселерометрический</w:t>
      </w:r>
      <w:proofErr w:type="spellEnd"/>
      <w:r w:rsidR="00C1147E" w:rsidRPr="00C1147E">
        <w:t xml:space="preserve"> датчик, гироскоп, гироскопический датчик</w:t>
      </w:r>
      <w:proofErr w:type="gramEnd"/>
    </w:p>
    <w:p w14:paraId="4709E077" w14:textId="085860A6" w:rsidR="006D4EFD" w:rsidRDefault="0053530A" w:rsidP="0053530A">
      <w:pPr>
        <w:pStyle w:val="1"/>
      </w:pPr>
      <w:r>
        <w:t>Введение</w:t>
      </w:r>
    </w:p>
    <w:p w14:paraId="28F39B29" w14:textId="75658E2A" w:rsidR="006F5E1C" w:rsidRDefault="006F5E1C" w:rsidP="0053530A">
      <w:pPr>
        <w:pStyle w:val="a3"/>
      </w:pPr>
      <w:r>
        <w:t xml:space="preserve">Инсулиновая помпа </w:t>
      </w:r>
      <w:r>
        <w:sym w:font="Symbol" w:char="F02D"/>
      </w:r>
      <w:r>
        <w:t xml:space="preserve"> программируемое электронное устройство, необходимое для больных сахарным диабетом 1 типа. Помпа помогает </w:t>
      </w:r>
      <w:r w:rsidR="00E23327">
        <w:t xml:space="preserve">регулировать </w:t>
      </w:r>
      <w:r>
        <w:t xml:space="preserve">концентрацию глюкозы в крови, позволяя вводить точные дозировки инсулина в организм. Конструктивно она состоит из микропроцессора и дисплея, позволяющих задавать базальные скорости </w:t>
      </w:r>
      <w:proofErr w:type="spellStart"/>
      <w:r>
        <w:t>инфузии</w:t>
      </w:r>
      <w:proofErr w:type="spellEnd"/>
      <w:r>
        <w:t xml:space="preserve"> с точностью до 0,125 </w:t>
      </w:r>
      <w:proofErr w:type="spellStart"/>
      <w:r>
        <w:t>Ед</w:t>
      </w:r>
      <w:proofErr w:type="spellEnd"/>
      <w:r>
        <w:t xml:space="preserve"> и программировать пищевые болюсы с минимальным шагом 0,1 </w:t>
      </w:r>
      <w:proofErr w:type="spellStart"/>
      <w:r>
        <w:t>Ед</w:t>
      </w:r>
      <w:proofErr w:type="spellEnd"/>
      <w:r>
        <w:t xml:space="preserve">; резервуара, из которого инсулин подается через катетер в иглу, откуда попадает в организм. Поршень приводится в действие микромотором. В современных инсулиновых помпах есть </w:t>
      </w:r>
      <w:r>
        <w:rPr>
          <w:lang w:val="en-US"/>
        </w:rPr>
        <w:t>Bluetooth</w:t>
      </w:r>
      <w:r>
        <w:t>-модуль, позволяющий связываться с другими устройствами и работать в единой системе. Обычно в связке работают помпа и датчик непрерывного мониторинга глюкозы (датчик НМГ). Данная система носит название «петля».</w:t>
      </w:r>
    </w:p>
    <w:p w14:paraId="249432C3" w14:textId="77777777" w:rsidR="006F5E1C" w:rsidRDefault="006F5E1C" w:rsidP="0053530A">
      <w:pPr>
        <w:pStyle w:val="a3"/>
      </w:pPr>
      <w:r>
        <w:t xml:space="preserve">Инсулиновую помпу можно модернизировать, добавив в ее конструкцию гироскопический датчик, который мог бы считывать интенсивность движений пациента. Активная физическая нагрузка значительно влияет на организм, снижая концентрацию глюкозы в крови </w:t>
      </w:r>
      <w:r w:rsidRPr="006F5E1C">
        <w:t>[</w:t>
      </w:r>
      <w:r>
        <w:t>1, с. 78</w:t>
      </w:r>
      <w:r w:rsidRPr="006F5E1C">
        <w:t>]</w:t>
      </w:r>
      <w:r>
        <w:t>. С помощью гироскопа можно было бы оценивать интенсивность движений и автономно корректировать вводимые дозировки инсулина, снижая базальные значения или полностью убирая их. При совместной работе с датчиком НМГ появляется добиться еще большей точности.</w:t>
      </w:r>
    </w:p>
    <w:p w14:paraId="646C2586" w14:textId="4333D1BC" w:rsidR="00502710" w:rsidRDefault="006F5E1C" w:rsidP="0053530A">
      <w:pPr>
        <w:pStyle w:val="a3"/>
      </w:pPr>
      <w:r>
        <w:t>Но гироскопический датчик потребляет немалое количество энергии, которое при ограниченной емкости бата</w:t>
      </w:r>
      <w:r w:rsidR="003A3086">
        <w:t>реи инсулиновой помпы критично.</w:t>
      </w:r>
      <w:r>
        <w:t xml:space="preserve"> Поэтому было рассмотрено несколько вариантов для оптимизации расхода энергии, чтобы при внедрении в помпу гироскопа сохранить ее срок службы на одном источнике питания.</w:t>
      </w:r>
    </w:p>
    <w:p w14:paraId="23E878D9" w14:textId="6681E14A" w:rsidR="006F5E1C" w:rsidRDefault="0053530A" w:rsidP="0053530A">
      <w:pPr>
        <w:pStyle w:val="1"/>
      </w:pPr>
      <w:r>
        <w:lastRenderedPageBreak/>
        <w:t>Основная часть</w:t>
      </w:r>
    </w:p>
    <w:p w14:paraId="1BEFD462" w14:textId="3F457455" w:rsidR="000976EA" w:rsidRDefault="006F5E1C" w:rsidP="0053530A">
      <w:pPr>
        <w:pStyle w:val="a3"/>
      </w:pPr>
      <w:r>
        <w:t xml:space="preserve">Первый вариант </w:t>
      </w:r>
      <w:r>
        <w:sym w:font="Symbol" w:char="F02D"/>
      </w:r>
      <w:r>
        <w:t xml:space="preserve"> внедрение в систему не только гироскопического, но и </w:t>
      </w:r>
      <w:proofErr w:type="spellStart"/>
      <w:r>
        <w:t>акселерометрического</w:t>
      </w:r>
      <w:proofErr w:type="spellEnd"/>
      <w:r>
        <w:t xml:space="preserve"> датчика.</w:t>
      </w:r>
      <w:r w:rsidR="00480746">
        <w:t xml:space="preserve"> Его устр</w:t>
      </w:r>
      <w:r w:rsidR="003A3086">
        <w:t>ойство в упрощенном виде представлено</w:t>
      </w:r>
      <w:r w:rsidR="0053530A">
        <w:t xml:space="preserve"> на рис. </w:t>
      </w:r>
      <w:r w:rsidR="000976EA">
        <w:t>1.</w:t>
      </w:r>
    </w:p>
    <w:p w14:paraId="32719A50" w14:textId="4E815657" w:rsidR="000976EA" w:rsidRDefault="000976EA" w:rsidP="005846D2">
      <w:pPr>
        <w:widowControl w:val="0"/>
        <w:tabs>
          <w:tab w:val="left" w:pos="330"/>
        </w:tabs>
        <w:ind w:firstLine="284"/>
        <w:jc w:val="center"/>
      </w:pPr>
      <w:r>
        <w:rPr>
          <w:noProof/>
          <w:lang w:eastAsia="ru-RU"/>
        </w:rPr>
        <w:drawing>
          <wp:inline distT="0" distB="0" distL="0" distR="0" wp14:anchorId="1695D7E0" wp14:editId="3E86A554">
            <wp:extent cx="1991799" cy="1494846"/>
            <wp:effectExtent l="0" t="0" r="8890" b="0"/>
            <wp:docPr id="1" name="Рисунок 1" descr="Акселерометры: принцип работы и технология МЭМС - бло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кселерометры: принцип работы и технология МЭМС - блог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171" cy="150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A24BE" w14:textId="3963D03E" w:rsidR="000976EA" w:rsidRDefault="000976EA" w:rsidP="0053530A">
      <w:pPr>
        <w:pStyle w:val="a"/>
      </w:pPr>
      <w:r>
        <w:t>Упрощенное устройст</w:t>
      </w:r>
      <w:r w:rsidR="0053530A">
        <w:t xml:space="preserve">во </w:t>
      </w:r>
      <w:proofErr w:type="spellStart"/>
      <w:r w:rsidR="0053530A">
        <w:t>акселерометрического</w:t>
      </w:r>
      <w:proofErr w:type="spellEnd"/>
      <w:r w:rsidR="0053530A">
        <w:t xml:space="preserve"> датчика</w:t>
      </w:r>
    </w:p>
    <w:p w14:paraId="2870D747" w14:textId="4538BA0F" w:rsidR="006F5E1C" w:rsidRDefault="006F5E1C" w:rsidP="0053530A">
      <w:pPr>
        <w:pStyle w:val="a3"/>
        <w:rPr>
          <w:color w:val="000000"/>
        </w:rPr>
      </w:pPr>
      <w:r>
        <w:t xml:space="preserve">Акселерометр потребляет значительно меньше энергии, при этом также может оценивать активность пациента. Если акселерометр установил высокую интенсивность движений, то включается гироскоп, который способен с большой точностью оценить физическую активность. При таком варианте модернизации нужно учитывать ряд параметров: точность датчиков, их габариты и энергопотребление. Наилучшим выбором стал гироскоп </w:t>
      </w:r>
      <w:r w:rsidRPr="00FC38FB">
        <w:rPr>
          <w:color w:val="000000"/>
        </w:rPr>
        <w:t>ST LSM6DSV320X</w:t>
      </w:r>
      <w:r>
        <w:rPr>
          <w:color w:val="000000"/>
        </w:rPr>
        <w:t xml:space="preserve">, уже имеющий в своей конструкции акселерометры, при этом обладающий малыми размерами и оптимальным энергопотреблением </w:t>
      </w:r>
      <w:r w:rsidRPr="006F5E1C">
        <w:rPr>
          <w:color w:val="000000"/>
        </w:rPr>
        <w:t>[</w:t>
      </w:r>
      <w:r>
        <w:rPr>
          <w:color w:val="000000"/>
        </w:rPr>
        <w:t>2</w:t>
      </w:r>
      <w:r w:rsidRPr="006F5E1C">
        <w:rPr>
          <w:color w:val="000000"/>
        </w:rPr>
        <w:t>]</w:t>
      </w:r>
      <w:r>
        <w:rPr>
          <w:color w:val="000000"/>
        </w:rPr>
        <w:t xml:space="preserve">. </w:t>
      </w:r>
    </w:p>
    <w:p w14:paraId="0BFF8C59" w14:textId="7C8038D3" w:rsidR="006F5E1C" w:rsidRDefault="006F5E1C" w:rsidP="0053530A">
      <w:pPr>
        <w:pStyle w:val="a3"/>
      </w:pPr>
      <w:r>
        <w:t xml:space="preserve">Второй вариант </w:t>
      </w:r>
      <w:r>
        <w:sym w:font="Symbol" w:char="F02D"/>
      </w:r>
      <w:r>
        <w:t xml:space="preserve"> не пытаться оптимизировать расход энергии, а увеличить ее изначальное количество. Для этого возьмем стандартный для инсулиновых помп аккумулятор емкость 2500 </w:t>
      </w:r>
      <w:proofErr w:type="spellStart"/>
      <w:r>
        <w:rPr>
          <w:lang w:val="en-US"/>
        </w:rPr>
        <w:t>mAh</w:t>
      </w:r>
      <w:proofErr w:type="spellEnd"/>
      <w:r w:rsidR="0053530A">
        <w:t xml:space="preserve"> и увеличим его до 5000 </w:t>
      </w:r>
      <w:proofErr w:type="spellStart"/>
      <w:r>
        <w:rPr>
          <w:lang w:val="en-US"/>
        </w:rPr>
        <w:t>mAh</w:t>
      </w:r>
      <w:proofErr w:type="spellEnd"/>
      <w:r>
        <w:t>. Увеличение батареи приведет к заметному увеличению размеров помпы (</w:t>
      </w:r>
      <w:r w:rsidRPr="00953CF3">
        <w:t>~</w:t>
      </w:r>
      <w:r>
        <w:t xml:space="preserve">17%). Также незначительно возрастет масса помпы и неудобство ее постоянного использования. При этом увеличение емкости в два раза не приведет к аналогичному увеличению срока службы помпы на одном аккумуляторе из-за саморазряда. Последней, но не менее важной проблемой будет безопасность пациента. Большая часть проблем инсулиновых помп связана с выходом из строя аккумуляторного отсека, зачастую из-за протечки электролита. Чем больше аккумулятор, тем </w:t>
      </w:r>
      <w:bookmarkStart w:id="0" w:name="_GoBack"/>
      <w:bookmarkEnd w:id="0"/>
      <w:r>
        <w:t>больше возможная протечка электролита</w:t>
      </w:r>
      <w:r w:rsidR="000976EA">
        <w:t xml:space="preserve"> (рис. 2)</w:t>
      </w:r>
      <w:r>
        <w:t>.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1"/>
        <w:gridCol w:w="2591"/>
      </w:tblGrid>
      <w:tr w:rsidR="000976EA" w14:paraId="1E5C8D64" w14:textId="77777777" w:rsidTr="000976EA">
        <w:tc>
          <w:tcPr>
            <w:tcW w:w="2546" w:type="dxa"/>
          </w:tcPr>
          <w:p w14:paraId="149BEF4B" w14:textId="7D3726AF" w:rsidR="000976EA" w:rsidRDefault="000976EA" w:rsidP="000976EA">
            <w:pPr>
              <w:widowControl w:val="0"/>
              <w:tabs>
                <w:tab w:val="left" w:pos="330"/>
              </w:tabs>
              <w:jc w:val="center"/>
              <w:rPr>
                <w:color w:val="000000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86DA374" wp14:editId="51AD6C15">
                  <wp:extent cx="1459974" cy="1701800"/>
                  <wp:effectExtent l="0" t="0" r="6985" b="0"/>
                  <wp:docPr id="3" name="Рисунок 3" descr="Camelion AA-2500mAh Ni-Mh BL-2 (NH-AA2500BP2) аккумулятор, 1.2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melion AA-2500mAh Ni-Mh BL-2 (NH-AA2500BP2) аккумулятор, 1.2В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17" t="2159" r="12903" b="9275"/>
                          <a:stretch/>
                        </pic:blipFill>
                        <pic:spPr bwMode="auto">
                          <a:xfrm>
                            <a:off x="0" y="0"/>
                            <a:ext cx="1466717" cy="170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6" w:type="dxa"/>
          </w:tcPr>
          <w:p w14:paraId="3D37BD0E" w14:textId="67C57B0A" w:rsidR="000976EA" w:rsidRDefault="000976EA" w:rsidP="000976EA">
            <w:pPr>
              <w:widowControl w:val="0"/>
              <w:tabs>
                <w:tab w:val="left" w:pos="330"/>
              </w:tabs>
              <w:jc w:val="center"/>
              <w:rPr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195670" wp14:editId="22E237BD">
                  <wp:extent cx="1524000" cy="1368898"/>
                  <wp:effectExtent l="0" t="0" r="0" b="3175"/>
                  <wp:docPr id="2" name="Рисунок 2" descr="Аккумулятор LIITOKALA Li-ion 26650 Lii-50A 5000 mAh, 3.7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Аккумулятор LIITOKALA Li-ion 26650 Lii-50A 5000 mAh, 3.7V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72" t="5687" r="17275" b="9032"/>
                          <a:stretch/>
                        </pic:blipFill>
                        <pic:spPr bwMode="auto">
                          <a:xfrm>
                            <a:off x="0" y="0"/>
                            <a:ext cx="1586426" cy="1424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28B021" w14:textId="7BCCF5B7" w:rsidR="000976EA" w:rsidRPr="000976EA" w:rsidRDefault="000976EA" w:rsidP="0053530A">
      <w:pPr>
        <w:pStyle w:val="a"/>
      </w:pPr>
      <w:r>
        <w:t xml:space="preserve">Сравнительные размеры аккумуляторов на 2500 </w:t>
      </w:r>
      <w:proofErr w:type="spellStart"/>
      <w:r>
        <w:rPr>
          <w:lang w:val="en-US"/>
        </w:rPr>
        <w:t>mAh</w:t>
      </w:r>
      <w:proofErr w:type="spellEnd"/>
      <w:r w:rsidR="0053530A">
        <w:t xml:space="preserve"> и 5000 </w:t>
      </w:r>
      <w:proofErr w:type="spellStart"/>
      <w:r>
        <w:rPr>
          <w:lang w:val="en-US"/>
        </w:rPr>
        <w:t>mAh</w:t>
      </w:r>
      <w:proofErr w:type="spellEnd"/>
    </w:p>
    <w:p w14:paraId="65B7E5BB" w14:textId="77777777" w:rsidR="006F5E1C" w:rsidRDefault="006F5E1C" w:rsidP="0053530A">
      <w:pPr>
        <w:pStyle w:val="a3"/>
      </w:pPr>
      <w:r>
        <w:t>Для оптимизации расхода энергии не рассматриваются батареи, так как они являются одноразовыми источниками питания и в долгосрочной перспективе будут менее удобны и выгодны для больных.</w:t>
      </w:r>
    </w:p>
    <w:p w14:paraId="59DF9BD4" w14:textId="24AD0478" w:rsidR="00B41C90" w:rsidRDefault="006F5E1C" w:rsidP="0053530A">
      <w:pPr>
        <w:pStyle w:val="a3"/>
      </w:pPr>
      <w:r>
        <w:t xml:space="preserve">Последний вариант модернизации </w:t>
      </w:r>
      <w:r>
        <w:sym w:font="Symbol" w:char="F02D"/>
      </w:r>
      <w:r>
        <w:t xml:space="preserve"> изменение способа передачи данных, так как стандартный способ через </w:t>
      </w:r>
      <w:r>
        <w:rPr>
          <w:lang w:val="en-US"/>
        </w:rPr>
        <w:t>Bluetooth</w:t>
      </w:r>
      <w:r>
        <w:t xml:space="preserve"> довольно </w:t>
      </w:r>
      <w:proofErr w:type="spellStart"/>
      <w:r>
        <w:t>энергозатратен</w:t>
      </w:r>
      <w:proofErr w:type="spellEnd"/>
      <w:r>
        <w:t xml:space="preserve">. В данном методе были рассмотрены несколько вариантов передачи данных: через различные версии </w:t>
      </w:r>
      <w:r>
        <w:rPr>
          <w:lang w:val="en-US"/>
        </w:rPr>
        <w:t>Bluetooth</w:t>
      </w:r>
      <w:r>
        <w:t xml:space="preserve">, </w:t>
      </w:r>
      <w:r>
        <w:rPr>
          <w:lang w:val="en-US"/>
        </w:rPr>
        <w:t>NFC</w:t>
      </w:r>
      <w:r>
        <w:t xml:space="preserve">. Последний способ может показаться перспективным из-за низкого расхода энергии в активном режиме и возможности передачи вообще без затрат энергии в пассивном, как это происходит при оплате кредитными картами. Однако для передачи информации устройства </w:t>
      </w:r>
      <w:r>
        <w:lastRenderedPageBreak/>
        <w:t xml:space="preserve">должны находиться максимально близко друг к другу, что совершенно неприменимо для поставленной задачи. При выборе версии </w:t>
      </w:r>
      <w:r>
        <w:rPr>
          <w:lang w:val="en-US"/>
        </w:rPr>
        <w:t>Bluetooth</w:t>
      </w:r>
      <w:r>
        <w:t xml:space="preserve"> наиболее </w:t>
      </w:r>
      <w:proofErr w:type="gramStart"/>
      <w:r>
        <w:t>эффективен</w:t>
      </w:r>
      <w:proofErr w:type="gramEnd"/>
      <w:r>
        <w:t xml:space="preserve"> </w:t>
      </w:r>
      <w:r>
        <w:rPr>
          <w:lang w:val="en-US"/>
        </w:rPr>
        <w:t>Bluetooth</w:t>
      </w:r>
      <w:r w:rsidRPr="00E81B59">
        <w:t xml:space="preserve"> </w:t>
      </w:r>
      <w:r>
        <w:rPr>
          <w:lang w:val="en-US"/>
        </w:rPr>
        <w:t>Low</w:t>
      </w:r>
      <w:r w:rsidRPr="00E81B59">
        <w:t xml:space="preserve"> </w:t>
      </w:r>
      <w:r>
        <w:rPr>
          <w:lang w:val="en-US"/>
        </w:rPr>
        <w:t>Energy</w:t>
      </w:r>
      <w:r>
        <w:t xml:space="preserve"> или </w:t>
      </w:r>
      <w:r>
        <w:rPr>
          <w:lang w:val="en-US"/>
        </w:rPr>
        <w:t>BLE</w:t>
      </w:r>
      <w:r>
        <w:t xml:space="preserve"> из-за низкого расхода</w:t>
      </w:r>
      <w:r w:rsidR="00B41C90">
        <w:t xml:space="preserve"> энергии, большой дальности передачи, быстрого соединения и точностью передачи. Важно упомянуть, что речь идет о старой версии </w:t>
      </w:r>
      <w:r w:rsidR="00B41C90">
        <w:rPr>
          <w:lang w:val="en-US"/>
        </w:rPr>
        <w:t>BLE</w:t>
      </w:r>
      <w:r w:rsidR="00B41C90">
        <w:t>, так как недавно была разработана новая его версия, работающая по новым стандартам и еще более экономичная. Для поставленных задач она на данный момент не подойдет вследствие низкой распространенности.</w:t>
      </w:r>
    </w:p>
    <w:p w14:paraId="515CDFFB" w14:textId="77777777" w:rsidR="00B41C90" w:rsidRDefault="00B41C90" w:rsidP="0053530A">
      <w:pPr>
        <w:pStyle w:val="1"/>
      </w:pPr>
      <w:r>
        <w:t>Заключение</w:t>
      </w:r>
    </w:p>
    <w:p w14:paraId="73097141" w14:textId="77777777" w:rsidR="00B41C90" w:rsidRPr="00E81B59" w:rsidRDefault="00B41C90" w:rsidP="0053530A">
      <w:pPr>
        <w:pStyle w:val="a3"/>
      </w:pPr>
      <w:r>
        <w:t xml:space="preserve">Рассмотрев все варианты для оптимизации расхода энергии, можно прийти к выводу, что наиболее эффективным вариантом будет совместное использование гироскопического и </w:t>
      </w:r>
      <w:proofErr w:type="spellStart"/>
      <w:r>
        <w:t>акселерометрического</w:t>
      </w:r>
      <w:proofErr w:type="spellEnd"/>
      <w:r>
        <w:t xml:space="preserve"> датчиков, так как они обеспечивают наиболее низкие затраты энергии, компактны, более универсальны, могут быть намного более точно настроены. Также данную связку можно, теоретически, использовать для дальнейших усовершенствований инсулиновой помпы.</w:t>
      </w:r>
    </w:p>
    <w:p w14:paraId="69A76473" w14:textId="77777777" w:rsidR="00B41C90" w:rsidRDefault="00B41C90" w:rsidP="00B41C90">
      <w:pPr>
        <w:pStyle w:val="5"/>
      </w:pPr>
      <w:r>
        <w:t>Список литературы</w:t>
      </w:r>
    </w:p>
    <w:p w14:paraId="55C585DD" w14:textId="06398B9F" w:rsidR="00B41C90" w:rsidRPr="0053530A" w:rsidRDefault="00B41C90" w:rsidP="0053530A">
      <w:pPr>
        <w:pStyle w:val="a0"/>
      </w:pPr>
      <w:r w:rsidRPr="0053530A">
        <w:rPr>
          <w:rStyle w:val="af2"/>
          <w:b w:val="0"/>
          <w:bCs w:val="0"/>
        </w:rPr>
        <w:t>Смирнов В.В.</w:t>
      </w:r>
      <w:r w:rsidRPr="0053530A">
        <w:t xml:space="preserve"> Физическая нагрузка и метаболический контроль при сахарном диабете 1 типа / В.В. Смирнов, Н.В. Макарова // Педиатрия. Журнал им. Г.Н. Сперанского. 2020. Т. 99, № 4. С. 75-82.</w:t>
      </w:r>
    </w:p>
    <w:p w14:paraId="15AD5351" w14:textId="77777777" w:rsidR="00B41C90" w:rsidRPr="0053530A" w:rsidRDefault="00B41C90" w:rsidP="0053530A">
      <w:pPr>
        <w:pStyle w:val="a0"/>
      </w:pPr>
      <w:r w:rsidRPr="0053530A">
        <w:rPr>
          <w:rStyle w:val="af2"/>
          <w:b w:val="0"/>
          <w:bCs w:val="0"/>
        </w:rPr>
        <w:t>LSM6DSV320X</w:t>
      </w:r>
      <w:r w:rsidRPr="0053530A">
        <w:t xml:space="preserve"> [Электронный ресурс] / </w:t>
      </w:r>
      <w:proofErr w:type="spellStart"/>
      <w:r w:rsidRPr="0053530A">
        <w:t>STMicroelectronics</w:t>
      </w:r>
      <w:proofErr w:type="spellEnd"/>
      <w:r w:rsidRPr="0053530A">
        <w:t xml:space="preserve">. </w:t>
      </w:r>
    </w:p>
    <w:p w14:paraId="459DC77F" w14:textId="77777777" w:rsidR="0053530A" w:rsidRPr="0053530A" w:rsidRDefault="0053530A" w:rsidP="0053530A">
      <w:pPr>
        <w:pStyle w:val="a0"/>
        <w:sectPr w:rsidR="0053530A" w:rsidRPr="0053530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20A38E02" w14:textId="68AE0E1A" w:rsidR="008C64AA" w:rsidRDefault="008C64AA" w:rsidP="00B41C90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140645" w14:textId="77777777" w:rsidR="00C95ED5" w:rsidRDefault="00C95ED5" w:rsidP="00805958">
      <w:r>
        <w:separator/>
      </w:r>
    </w:p>
  </w:endnote>
  <w:endnote w:type="continuationSeparator" w:id="0">
    <w:p w14:paraId="278C28E4" w14:textId="77777777" w:rsidR="00C95ED5" w:rsidRDefault="00C95ED5" w:rsidP="00805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6979146"/>
      <w:docPartObj>
        <w:docPartGallery w:val="Page Numbers (Bottom of Page)"/>
        <w:docPartUnique/>
      </w:docPartObj>
    </w:sdtPr>
    <w:sdtContent>
      <w:p w14:paraId="11A3682A" w14:textId="575971A8" w:rsidR="00805958" w:rsidRDefault="00805958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257B97" w14:textId="77777777" w:rsidR="00C95ED5" w:rsidRDefault="00C95ED5" w:rsidP="00805958">
      <w:r>
        <w:separator/>
      </w:r>
    </w:p>
  </w:footnote>
  <w:footnote w:type="continuationSeparator" w:id="0">
    <w:p w14:paraId="089C5E39" w14:textId="77777777" w:rsidR="00C95ED5" w:rsidRDefault="00C95ED5" w:rsidP="00805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1637"/>
        </w:tabs>
        <w:ind w:left="1565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234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976EA"/>
    <w:rsid w:val="000A387C"/>
    <w:rsid w:val="0013123C"/>
    <w:rsid w:val="001A2454"/>
    <w:rsid w:val="001B5E9C"/>
    <w:rsid w:val="00252F87"/>
    <w:rsid w:val="002D540B"/>
    <w:rsid w:val="002E2B7C"/>
    <w:rsid w:val="003378F6"/>
    <w:rsid w:val="00373376"/>
    <w:rsid w:val="003915FB"/>
    <w:rsid w:val="003A3086"/>
    <w:rsid w:val="003D785D"/>
    <w:rsid w:val="004165FC"/>
    <w:rsid w:val="00420452"/>
    <w:rsid w:val="0047652D"/>
    <w:rsid w:val="00480746"/>
    <w:rsid w:val="004B14C2"/>
    <w:rsid w:val="004C40DB"/>
    <w:rsid w:val="004D7E92"/>
    <w:rsid w:val="00502710"/>
    <w:rsid w:val="0053530A"/>
    <w:rsid w:val="00535924"/>
    <w:rsid w:val="005630E7"/>
    <w:rsid w:val="005846D2"/>
    <w:rsid w:val="005963D0"/>
    <w:rsid w:val="006D4EFD"/>
    <w:rsid w:val="006D605D"/>
    <w:rsid w:val="006F5E1C"/>
    <w:rsid w:val="00711520"/>
    <w:rsid w:val="0071573A"/>
    <w:rsid w:val="007316B2"/>
    <w:rsid w:val="00742A8D"/>
    <w:rsid w:val="00791CA2"/>
    <w:rsid w:val="007B6A69"/>
    <w:rsid w:val="007E4DD6"/>
    <w:rsid w:val="00805958"/>
    <w:rsid w:val="0087270B"/>
    <w:rsid w:val="008834FE"/>
    <w:rsid w:val="008A4838"/>
    <w:rsid w:val="008C64AA"/>
    <w:rsid w:val="008D54E3"/>
    <w:rsid w:val="00940220"/>
    <w:rsid w:val="009F446D"/>
    <w:rsid w:val="00A25034"/>
    <w:rsid w:val="00A32659"/>
    <w:rsid w:val="00A95E45"/>
    <w:rsid w:val="00AC08AA"/>
    <w:rsid w:val="00AE6C42"/>
    <w:rsid w:val="00AE7816"/>
    <w:rsid w:val="00AF069A"/>
    <w:rsid w:val="00B41C90"/>
    <w:rsid w:val="00B7060C"/>
    <w:rsid w:val="00B77B07"/>
    <w:rsid w:val="00BD2BC3"/>
    <w:rsid w:val="00C1147E"/>
    <w:rsid w:val="00C903D0"/>
    <w:rsid w:val="00C9188D"/>
    <w:rsid w:val="00C95ED5"/>
    <w:rsid w:val="00CC6D5A"/>
    <w:rsid w:val="00D142AE"/>
    <w:rsid w:val="00D80951"/>
    <w:rsid w:val="00DA480C"/>
    <w:rsid w:val="00E152C5"/>
    <w:rsid w:val="00E23327"/>
    <w:rsid w:val="00EC44A2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546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 w:qFormat="1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Strong"/>
    <w:basedOn w:val="a4"/>
    <w:uiPriority w:val="22"/>
    <w:qFormat/>
    <w:rsid w:val="006F5E1C"/>
    <w:rPr>
      <w:b/>
      <w:bCs/>
    </w:rPr>
  </w:style>
  <w:style w:type="character" w:styleId="af3">
    <w:name w:val="Hyperlink"/>
    <w:basedOn w:val="a4"/>
    <w:uiPriority w:val="99"/>
    <w:semiHidden/>
    <w:unhideWhenUsed/>
    <w:rsid w:val="006F5E1C"/>
    <w:rPr>
      <w:color w:val="0000FF"/>
      <w:u w:val="single"/>
    </w:rPr>
  </w:style>
  <w:style w:type="character" w:styleId="af4">
    <w:name w:val="annotation reference"/>
    <w:basedOn w:val="a4"/>
    <w:uiPriority w:val="99"/>
    <w:semiHidden/>
    <w:unhideWhenUsed/>
    <w:rsid w:val="008A4838"/>
    <w:rPr>
      <w:sz w:val="16"/>
      <w:szCs w:val="16"/>
    </w:rPr>
  </w:style>
  <w:style w:type="paragraph" w:styleId="af5">
    <w:name w:val="annotation text"/>
    <w:basedOn w:val="a2"/>
    <w:link w:val="af6"/>
    <w:uiPriority w:val="99"/>
    <w:semiHidden/>
    <w:unhideWhenUsed/>
    <w:rsid w:val="008A4838"/>
  </w:style>
  <w:style w:type="character" w:customStyle="1" w:styleId="af6">
    <w:name w:val="Текст примечания Знак"/>
    <w:basedOn w:val="a4"/>
    <w:link w:val="af5"/>
    <w:uiPriority w:val="99"/>
    <w:semiHidden/>
    <w:rsid w:val="008A4838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A4838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A4838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9">
    <w:name w:val="Balloon Text"/>
    <w:basedOn w:val="a2"/>
    <w:link w:val="afa"/>
    <w:uiPriority w:val="99"/>
    <w:semiHidden/>
    <w:unhideWhenUsed/>
    <w:rsid w:val="008A4838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4"/>
    <w:link w:val="af9"/>
    <w:uiPriority w:val="99"/>
    <w:semiHidden/>
    <w:rsid w:val="008A4838"/>
    <w:rPr>
      <w:rFonts w:ascii="Segoe UI" w:hAnsi="Segoe UI" w:cs="Segoe UI"/>
      <w:sz w:val="18"/>
      <w:szCs w:val="18"/>
      <w:lang w:eastAsia="en-US"/>
    </w:rPr>
  </w:style>
  <w:style w:type="paragraph" w:styleId="afb">
    <w:name w:val="header"/>
    <w:basedOn w:val="a2"/>
    <w:link w:val="afc"/>
    <w:unhideWhenUsed/>
    <w:rsid w:val="00805958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805958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805958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805958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 w:qFormat="1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Strong"/>
    <w:basedOn w:val="a4"/>
    <w:uiPriority w:val="22"/>
    <w:qFormat/>
    <w:rsid w:val="006F5E1C"/>
    <w:rPr>
      <w:b/>
      <w:bCs/>
    </w:rPr>
  </w:style>
  <w:style w:type="character" w:styleId="af3">
    <w:name w:val="Hyperlink"/>
    <w:basedOn w:val="a4"/>
    <w:uiPriority w:val="99"/>
    <w:semiHidden/>
    <w:unhideWhenUsed/>
    <w:rsid w:val="006F5E1C"/>
    <w:rPr>
      <w:color w:val="0000FF"/>
      <w:u w:val="single"/>
    </w:rPr>
  </w:style>
  <w:style w:type="character" w:styleId="af4">
    <w:name w:val="annotation reference"/>
    <w:basedOn w:val="a4"/>
    <w:uiPriority w:val="99"/>
    <w:semiHidden/>
    <w:unhideWhenUsed/>
    <w:rsid w:val="008A4838"/>
    <w:rPr>
      <w:sz w:val="16"/>
      <w:szCs w:val="16"/>
    </w:rPr>
  </w:style>
  <w:style w:type="paragraph" w:styleId="af5">
    <w:name w:val="annotation text"/>
    <w:basedOn w:val="a2"/>
    <w:link w:val="af6"/>
    <w:uiPriority w:val="99"/>
    <w:semiHidden/>
    <w:unhideWhenUsed/>
    <w:rsid w:val="008A4838"/>
  </w:style>
  <w:style w:type="character" w:customStyle="1" w:styleId="af6">
    <w:name w:val="Текст примечания Знак"/>
    <w:basedOn w:val="a4"/>
    <w:link w:val="af5"/>
    <w:uiPriority w:val="99"/>
    <w:semiHidden/>
    <w:rsid w:val="008A4838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A4838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A4838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9">
    <w:name w:val="Balloon Text"/>
    <w:basedOn w:val="a2"/>
    <w:link w:val="afa"/>
    <w:uiPriority w:val="99"/>
    <w:semiHidden/>
    <w:unhideWhenUsed/>
    <w:rsid w:val="008A4838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4"/>
    <w:link w:val="af9"/>
    <w:uiPriority w:val="99"/>
    <w:semiHidden/>
    <w:rsid w:val="008A4838"/>
    <w:rPr>
      <w:rFonts w:ascii="Segoe UI" w:hAnsi="Segoe UI" w:cs="Segoe UI"/>
      <w:sz w:val="18"/>
      <w:szCs w:val="18"/>
      <w:lang w:eastAsia="en-US"/>
    </w:rPr>
  </w:style>
  <w:style w:type="paragraph" w:styleId="afb">
    <w:name w:val="header"/>
    <w:basedOn w:val="a2"/>
    <w:link w:val="afc"/>
    <w:unhideWhenUsed/>
    <w:rsid w:val="00805958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805958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805958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805958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2026-04-16T12:14:00Z</dcterms:created>
  <dcterms:modified xsi:type="dcterms:W3CDTF">2026-04-16T12:14:00Z</dcterms:modified>
</cp:coreProperties>
</file>